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B" w:rsidRDefault="00C947D8">
      <w:r>
        <w:t xml:space="preserve">Spectral efficiency is an essential </w:t>
      </w:r>
      <w:r w:rsidR="0070774F">
        <w:t>parameter</w:t>
      </w:r>
      <w:r>
        <w:t xml:space="preserve"> for </w:t>
      </w:r>
      <w:r w:rsidR="0059668F">
        <w:t>evaluation of</w:t>
      </w:r>
      <w:r>
        <w:t xml:space="preserve"> radio access techno</w:t>
      </w:r>
      <w:r w:rsidR="0059668F">
        <w:t>logies. I</w:t>
      </w:r>
      <w:r>
        <w:t xml:space="preserve">t provides </w:t>
      </w:r>
      <w:r w:rsidR="0070774F">
        <w:t>insights</w:t>
      </w:r>
      <w:r>
        <w:t xml:space="preserve"> into expected data rates for a given amount of spectrum</w:t>
      </w:r>
      <w:r w:rsidR="0059668F">
        <w:t xml:space="preserve">, and at the same time </w:t>
      </w:r>
      <w:r>
        <w:t xml:space="preserve">it is used to compare different radio access technologies (e.g., 3G vs 4G vs 5G comparison). </w:t>
      </w:r>
      <w:r w:rsidR="0059668F">
        <w:t xml:space="preserve">For instance, </w:t>
      </w:r>
      <w:r>
        <w:t xml:space="preserve">early mobile technologies had a very low peak spectral efficiency (e.g., </w:t>
      </w:r>
      <w:r w:rsidR="0070774F">
        <w:t>early GSM systems were providing speeds in 10 kbps, or spectral efficiency of &lt; 1 b/s/Hz</w:t>
      </w:r>
      <w:r>
        <w:t xml:space="preserve">), </w:t>
      </w:r>
      <w:r w:rsidR="0059668F">
        <w:t xml:space="preserve">while the </w:t>
      </w:r>
      <w:r w:rsidR="0070774F">
        <w:t>5G has very high target</w:t>
      </w:r>
      <w:r w:rsidR="00C53580">
        <w:t xml:space="preserve"> spectral efficiency and</w:t>
      </w:r>
      <w:r w:rsidR="0070774F">
        <w:t xml:space="preserve"> data rates, as summarized below: </w:t>
      </w:r>
    </w:p>
    <w:p w:rsidR="0070774F" w:rsidRDefault="0070774F"/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705"/>
        <w:gridCol w:w="1710"/>
        <w:gridCol w:w="1710"/>
      </w:tblGrid>
      <w:tr w:rsidR="00C53580" w:rsidTr="00BD227F">
        <w:tc>
          <w:tcPr>
            <w:tcW w:w="1705" w:type="dxa"/>
          </w:tcPr>
          <w:p w:rsidR="00C53580" w:rsidRDefault="00C53580" w:rsidP="00BD227F">
            <w:pPr>
              <w:keepNext/>
              <w:keepLines/>
              <w:spacing w:before="120" w:after="180"/>
              <w:outlineLvl w:val="2"/>
            </w:pPr>
          </w:p>
        </w:tc>
        <w:tc>
          <w:tcPr>
            <w:tcW w:w="1710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Peak Spectral Efficiency (bit/s/Hz)</w:t>
            </w:r>
          </w:p>
        </w:tc>
        <w:tc>
          <w:tcPr>
            <w:tcW w:w="1710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Peak Data Rate (Gbps)</w:t>
            </w:r>
          </w:p>
        </w:tc>
      </w:tr>
      <w:tr w:rsidR="00C53580" w:rsidTr="00BD227F">
        <w:tc>
          <w:tcPr>
            <w:tcW w:w="1705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Downlink</w:t>
            </w:r>
          </w:p>
        </w:tc>
        <w:tc>
          <w:tcPr>
            <w:tcW w:w="1710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30</w:t>
            </w:r>
          </w:p>
        </w:tc>
        <w:tc>
          <w:tcPr>
            <w:tcW w:w="1710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20</w:t>
            </w:r>
          </w:p>
        </w:tc>
      </w:tr>
      <w:tr w:rsidR="00C53580" w:rsidTr="00BD227F">
        <w:tc>
          <w:tcPr>
            <w:tcW w:w="1705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Uplink</w:t>
            </w:r>
          </w:p>
        </w:tc>
        <w:tc>
          <w:tcPr>
            <w:tcW w:w="1710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15</w:t>
            </w:r>
          </w:p>
        </w:tc>
        <w:tc>
          <w:tcPr>
            <w:tcW w:w="1710" w:type="dxa"/>
          </w:tcPr>
          <w:p w:rsidR="00C53580" w:rsidRDefault="00C53580" w:rsidP="00BD227F">
            <w:pPr>
              <w:keepNext/>
              <w:keepLines/>
              <w:spacing w:before="120" w:after="180"/>
              <w:jc w:val="center"/>
              <w:outlineLvl w:val="2"/>
            </w:pPr>
            <w:r>
              <w:t>10</w:t>
            </w:r>
          </w:p>
        </w:tc>
      </w:tr>
    </w:tbl>
    <w:p w:rsidR="0070774F" w:rsidRDefault="0070774F"/>
    <w:p w:rsidR="00C53580" w:rsidRDefault="00C53580" w:rsidP="00C53580">
      <w:r>
        <w:t xml:space="preserve">Evidently, by comparing the peak spectral efficiency and peak data rate targets, required bandwidth can be calculated by dividing the two columns in the table above, which results in 667 MHz </w:t>
      </w:r>
      <w:r w:rsidR="0059668F">
        <w:t xml:space="preserve">of the minimal bandwidth needed </w:t>
      </w:r>
      <w:r>
        <w:t xml:space="preserve">both for the DL and UL. </w:t>
      </w:r>
    </w:p>
    <w:p w:rsidR="00C53580" w:rsidRDefault="00C53580" w:rsidP="00C53580">
      <w:r>
        <w:t xml:space="preserve">In the appendix, we calculate the peak spectral efficiencies for two different frequency ranges expected to operate in 5G: Frequency Range 1 (FR1, </w:t>
      </w:r>
      <w:r>
        <w:t>410 MHz – 7125</w:t>
      </w:r>
      <w:r w:rsidRPr="00017802">
        <w:t xml:space="preserve"> MHz</w:t>
      </w:r>
      <w:r>
        <w:t xml:space="preserve">), and Frequency Range 2 (FR2, </w:t>
      </w:r>
      <w:r>
        <w:t>24250 MHz – 52600</w:t>
      </w:r>
      <w:r w:rsidRPr="00017802">
        <w:t xml:space="preserve"> MHz</w:t>
      </w:r>
      <w:r>
        <w:t xml:space="preserve">). </w:t>
      </w:r>
    </w:p>
    <w:p w:rsidR="00A82202" w:rsidRPr="00A82202" w:rsidRDefault="00A82202" w:rsidP="00C53580">
      <w:pPr>
        <w:rPr>
          <w:b/>
        </w:rPr>
      </w:pPr>
      <w:r w:rsidRPr="00A82202">
        <w:rPr>
          <w:b/>
        </w:rPr>
        <w:t>NR calculations</w:t>
      </w:r>
    </w:p>
    <w:p w:rsidR="00A82202" w:rsidRDefault="00C53580" w:rsidP="00C53580">
      <w:r>
        <w:t xml:space="preserve">Depending on parameters such as channel bandwidth and subcarriers spacing, </w:t>
      </w:r>
      <w:r w:rsidR="00747768">
        <w:t xml:space="preserve">it has been shown that the </w:t>
      </w:r>
      <w:r>
        <w:t>DL spectral efficiency ranges between 37.66 b/s/Hz and 46.74</w:t>
      </w:r>
      <w:r w:rsidR="00747768">
        <w:t xml:space="preserve"> in FR1 portion of the spectrum</w:t>
      </w:r>
      <w:r>
        <w:t>, which is well above the target spectral efficiency of 30 b/s/Hz. Similarly, the UL spectral efficiency varies between 20.14 and 25 b/s/Hz</w:t>
      </w:r>
      <w:r w:rsidR="00747768">
        <w:t>, also well above the target of 15 b/s/Hz</w:t>
      </w:r>
      <w:r>
        <w:t xml:space="preserve">. </w:t>
      </w:r>
      <w:r w:rsidR="00A82202">
        <w:t xml:space="preserve">In any of the calculated scenarios, there is enough room for higher overheads that may be needed (compared to overheads used in theoretical calculation). </w:t>
      </w:r>
      <w:r>
        <w:t xml:space="preserve"> </w:t>
      </w:r>
      <w:r w:rsidR="00A82202">
        <w:t xml:space="preserve">In addition to spectral efficiency, peak data rates per single carrier have been calculated and it has been shown that up to 4.67 Gbps can be achieved using a single 100 MHz carrier. Therefore, by combining 5 carriers (500 MHz), it is possible to achieve target of 20 Gbps. </w:t>
      </w:r>
    </w:p>
    <w:p w:rsidR="00C53580" w:rsidRDefault="00A82202" w:rsidP="00C53580">
      <w:r>
        <w:t>For the FR2 range, spectral efficiencies are also above the ITU-R targets, even though there is less room for overhead increase when 64QAM is considered</w:t>
      </w:r>
      <w:r w:rsidR="00747768">
        <w:t xml:space="preserve"> (as opposed to 256QAM)</w:t>
      </w:r>
      <w:r>
        <w:t xml:space="preserve">. In terms of peak data rates, even with 64QAM, a peak data rates of 10.85 Gbps is achievable with a single </w:t>
      </w:r>
      <w:r w:rsidR="00747768">
        <w:t xml:space="preserve">400 MHz </w:t>
      </w:r>
      <w:r>
        <w:t xml:space="preserve">carrier. Therefore, only 2 carriers are needed to achieve the ITU-R target of 20 Gbps. </w:t>
      </w:r>
    </w:p>
    <w:p w:rsidR="00A82202" w:rsidRDefault="00A82202" w:rsidP="00C53580">
      <w:r>
        <w:t xml:space="preserve">A more realistic </w:t>
      </w:r>
      <w:r w:rsidR="00747768">
        <w:t>use case</w:t>
      </w:r>
      <w:r>
        <w:t xml:space="preserve"> is to combine FR1 and FR2 frequencies</w:t>
      </w:r>
      <w:r w:rsidR="00747768">
        <w:t xml:space="preserve"> via carrier aggregation</w:t>
      </w:r>
      <w:r w:rsidR="009C71AE">
        <w:t xml:space="preserve">, </w:t>
      </w:r>
      <w:r w:rsidR="00747768">
        <w:t xml:space="preserve">but since </w:t>
      </w:r>
      <w:r w:rsidR="009C71AE">
        <w:t>3GPP specification</w:t>
      </w:r>
      <w:r w:rsidR="00747768">
        <w:t>s</w:t>
      </w:r>
      <w:r w:rsidR="009C71AE">
        <w:t xml:space="preserve"> allows up to 16 carriers to be aggregated</w:t>
      </w:r>
      <w:r w:rsidR="00747768">
        <w:t>, target peak data rates of 20 Gbps in the DL and 10 Gbps in the UL should be easily achieved</w:t>
      </w:r>
      <w:bookmarkStart w:id="0" w:name="_GoBack"/>
      <w:bookmarkEnd w:id="0"/>
      <w:r w:rsidR="009C71AE">
        <w:t xml:space="preserve">. </w:t>
      </w:r>
    </w:p>
    <w:p w:rsidR="009C71AE" w:rsidRPr="009C71AE" w:rsidRDefault="009C71AE" w:rsidP="00C53580">
      <w:pPr>
        <w:rPr>
          <w:b/>
        </w:rPr>
      </w:pPr>
      <w:r w:rsidRPr="009C71AE">
        <w:rPr>
          <w:b/>
        </w:rPr>
        <w:t>LTE calculations</w:t>
      </w:r>
    </w:p>
    <w:p w:rsidR="009C71AE" w:rsidRDefault="009C71AE" w:rsidP="00C53580">
      <w:r>
        <w:lastRenderedPageBreak/>
        <w:t xml:space="preserve">Using the transport block sizes specified in TS 36.213, peak spectral efficiency of around 50 b/s/Hz has been calculated for LTE and peak data rate of 1 Gbps per single 20 MHz channel. </w:t>
      </w:r>
      <w:r>
        <w:t>Given that LTE allows up to 32 component carriers in carrier aggregation, the peak DL data arte can be as high as 32 Gbps assuming 20 MHz channels</w:t>
      </w:r>
    </w:p>
    <w:p w:rsidR="009C71AE" w:rsidRDefault="009C71AE" w:rsidP="00C53580"/>
    <w:p w:rsidR="009C71AE" w:rsidRDefault="009C71AE" w:rsidP="009C71AE">
      <w:pPr>
        <w:rPr>
          <w:b/>
        </w:rPr>
      </w:pPr>
      <w:r w:rsidRPr="009C71AE">
        <w:rPr>
          <w:b/>
        </w:rPr>
        <w:t>Conclusion</w:t>
      </w:r>
    </w:p>
    <w:p w:rsidR="009C71AE" w:rsidRPr="009C71AE" w:rsidRDefault="009C71AE" w:rsidP="009C71AE">
      <w:pPr>
        <w:rPr>
          <w:b/>
        </w:rPr>
      </w:pPr>
    </w:p>
    <w:p w:rsidR="009C71AE" w:rsidRDefault="009C71AE" w:rsidP="009C71AE">
      <w:r w:rsidRPr="00247A3B">
        <w:rPr>
          <w:b/>
          <w:u w:val="single"/>
        </w:rPr>
        <w:t>Observat</w:t>
      </w:r>
      <w:r>
        <w:rPr>
          <w:b/>
          <w:u w:val="single"/>
        </w:rPr>
        <w:t>ion 1</w:t>
      </w:r>
      <w:r w:rsidRPr="00247A3B">
        <w:rPr>
          <w:b/>
          <w:u w:val="single"/>
        </w:rPr>
        <w:t>:</w:t>
      </w:r>
      <w:r>
        <w:t xml:space="preserve"> The Peak Spectral Efficiency values computed in this paper, for both NR and LTE, fulfill </w:t>
      </w:r>
      <w:proofErr w:type="gramStart"/>
      <w:r>
        <w:t>the</w:t>
      </w:r>
      <w:proofErr w:type="gramEnd"/>
      <w:r>
        <w:t xml:space="preserve"> ITU-R targets for these technical performance requirements.</w:t>
      </w:r>
    </w:p>
    <w:p w:rsidR="009C71AE" w:rsidRDefault="009C71AE" w:rsidP="009C71AE"/>
    <w:p w:rsidR="009C71AE" w:rsidRPr="00D832EB" w:rsidRDefault="009C71AE" w:rsidP="009C71AE">
      <w:r>
        <w:rPr>
          <w:b/>
          <w:u w:val="single"/>
        </w:rPr>
        <w:t>Observation 2</w:t>
      </w:r>
      <w:r w:rsidRPr="00D035A4">
        <w:rPr>
          <w:b/>
          <w:u w:val="single"/>
        </w:rPr>
        <w:t>:</w:t>
      </w:r>
      <w:r>
        <w:t xml:space="preserve"> The Peak Data Rate values computed in this paper, for both NR and LTE, fulfill the ITU-R targets for these technical performance requirements. </w:t>
      </w:r>
    </w:p>
    <w:p w:rsidR="009C71AE" w:rsidRDefault="009C71AE" w:rsidP="00C53580"/>
    <w:sectPr w:rsidR="009C7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6F4C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5D6355"/>
    <w:multiLevelType w:val="hybridMultilevel"/>
    <w:tmpl w:val="D382A298"/>
    <w:lvl w:ilvl="0" w:tplc="08121E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B4"/>
    <w:rsid w:val="002639B4"/>
    <w:rsid w:val="00362BB8"/>
    <w:rsid w:val="0059668F"/>
    <w:rsid w:val="0070774F"/>
    <w:rsid w:val="00747768"/>
    <w:rsid w:val="009C71AE"/>
    <w:rsid w:val="00A7049B"/>
    <w:rsid w:val="00A82202"/>
    <w:rsid w:val="00C53580"/>
    <w:rsid w:val="00C947D8"/>
    <w:rsid w:val="00F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B8DDF-D469-4FA8-980F-D57D4967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71AE"/>
    <w:pPr>
      <w:keepNext/>
      <w:numPr>
        <w:numId w:val="2"/>
      </w:numPr>
      <w:spacing w:after="240" w:line="240" w:lineRule="auto"/>
      <w:ind w:right="284"/>
      <w:outlineLvl w:val="0"/>
    </w:pPr>
    <w:rPr>
      <w:rFonts w:ascii="Arial" w:eastAsia="SimSun" w:hAnsi="Arial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C71AE"/>
    <w:pPr>
      <w:keepNext/>
      <w:numPr>
        <w:ilvl w:val="1"/>
        <w:numId w:val="2"/>
      </w:numPr>
      <w:spacing w:after="0" w:line="240" w:lineRule="auto"/>
      <w:ind w:right="284"/>
      <w:outlineLvl w:val="1"/>
    </w:pPr>
    <w:rPr>
      <w:rFonts w:ascii="Arial" w:eastAsia="SimSun" w:hAnsi="Arial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C71AE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SimSu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C71A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C71AE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SimSun" w:hAnsi="Arial" w:cs="Times New Roman"/>
      <w:b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C71AE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SimSun" w:hAnsi="Arial" w:cs="Times New Roman"/>
      <w:b/>
      <w:color w:val="C0C0C0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C71AE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9C71AE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9C71A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SimSu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74F"/>
    <w:pPr>
      <w:spacing w:after="0" w:line="240" w:lineRule="auto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5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71AE"/>
    <w:rPr>
      <w:rFonts w:ascii="Arial" w:eastAsia="SimSun" w:hAnsi="Arial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C71AE"/>
    <w:rPr>
      <w:rFonts w:ascii="Arial" w:eastAsia="SimSun" w:hAnsi="Arial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C71AE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C71AE"/>
    <w:rPr>
      <w:rFonts w:ascii="Times New Roman" w:eastAsia="SimSu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C71AE"/>
    <w:rPr>
      <w:rFonts w:ascii="Arial" w:eastAsia="SimSun" w:hAnsi="Arial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C71AE"/>
    <w:rPr>
      <w:rFonts w:ascii="Arial" w:eastAsia="SimSun" w:hAnsi="Arial" w:cs="Times New Roman"/>
      <w:b/>
      <w:color w:val="C0C0C0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C71AE"/>
    <w:rPr>
      <w:rFonts w:ascii="Times New Roman" w:eastAsia="SimSu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C71AE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9C71AE"/>
    <w:rPr>
      <w:rFonts w:ascii="Arial" w:eastAsia="SimSu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Maljevic</dc:creator>
  <cp:keywords/>
  <dc:description/>
  <cp:lastModifiedBy>Ivo Maljevic</cp:lastModifiedBy>
  <cp:revision>5</cp:revision>
  <dcterms:created xsi:type="dcterms:W3CDTF">2019-09-03T18:02:00Z</dcterms:created>
  <dcterms:modified xsi:type="dcterms:W3CDTF">2019-09-03T18:45:00Z</dcterms:modified>
</cp:coreProperties>
</file>