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C781D" w14:textId="77777777" w:rsidR="00740ED7" w:rsidRDefault="00740ED7" w:rsidP="0081266A">
      <w:pPr>
        <w:pStyle w:val="Header"/>
        <w:tabs>
          <w:tab w:val="clear" w:pos="4153"/>
          <w:tab w:val="clear" w:pos="8306"/>
          <w:tab w:val="right" w:pos="9356"/>
          <w:tab w:val="right" w:pos="10206"/>
        </w:tabs>
        <w:rPr>
          <w:rFonts w:ascii="Arial" w:eastAsia="Times New Roman" w:hAnsi="Arial" w:cs="Arial"/>
          <w:sz w:val="24"/>
          <w:szCs w:val="24"/>
        </w:rPr>
      </w:pPr>
    </w:p>
    <w:p w14:paraId="1E38C9B4" w14:textId="77777777" w:rsidR="00740ED7" w:rsidRDefault="00740ED7" w:rsidP="00740ED7">
      <w:pPr>
        <w:framePr w:hSpace="180" w:wrap="around" w:vAnchor="text" w:hAnchor="margin" w:x="80" w:y="32"/>
        <w:rPr>
          <w:sz w:val="36"/>
          <w:szCs w:val="48"/>
        </w:rPr>
      </w:pPr>
      <w:r w:rsidRPr="00740ED7">
        <w:rPr>
          <w:sz w:val="36"/>
          <w:szCs w:val="48"/>
        </w:rPr>
        <w:t>IMT-2020</w:t>
      </w:r>
      <w:r>
        <w:rPr>
          <w:sz w:val="36"/>
          <w:szCs w:val="48"/>
        </w:rPr>
        <w:t xml:space="preserve"> </w:t>
      </w:r>
      <w:r w:rsidRPr="00740ED7">
        <w:rPr>
          <w:sz w:val="36"/>
          <w:szCs w:val="48"/>
        </w:rPr>
        <w:t>Evaluation</w:t>
      </w:r>
      <w:r w:rsidR="00705CCF">
        <w:rPr>
          <w:sz w:val="36"/>
          <w:szCs w:val="48"/>
        </w:rPr>
        <w:t>:</w:t>
      </w:r>
    </w:p>
    <w:p w14:paraId="039EB7B7" w14:textId="77777777" w:rsidR="002827FB" w:rsidRDefault="002827FB" w:rsidP="00740ED7">
      <w:pPr>
        <w:framePr w:hSpace="180" w:wrap="around" w:vAnchor="text" w:hAnchor="margin" w:x="80" w:y="32"/>
        <w:rPr>
          <w:sz w:val="36"/>
          <w:szCs w:val="48"/>
        </w:rPr>
      </w:pPr>
    </w:p>
    <w:p w14:paraId="7AD55DA6" w14:textId="05E3703B" w:rsidR="00740ED7" w:rsidRDefault="00D832EB" w:rsidP="00D832EB">
      <w:pPr>
        <w:framePr w:hSpace="180" w:wrap="around" w:vAnchor="text" w:hAnchor="margin" w:x="80" w:y="32"/>
      </w:pPr>
      <w:r>
        <w:rPr>
          <w:sz w:val="36"/>
          <w:szCs w:val="48"/>
        </w:rPr>
        <w:t>Peak Data Rate and</w:t>
      </w:r>
      <w:r w:rsidR="00AC623F">
        <w:rPr>
          <w:sz w:val="36"/>
          <w:szCs w:val="48"/>
        </w:rPr>
        <w:t xml:space="preserve"> Peak Spectral Efficiency E</w:t>
      </w:r>
      <w:r w:rsidR="00AC623F" w:rsidRPr="00AC623F">
        <w:rPr>
          <w:sz w:val="36"/>
          <w:szCs w:val="48"/>
        </w:rPr>
        <w:t>valuations for NR</w:t>
      </w:r>
    </w:p>
    <w:p w14:paraId="667694D3" w14:textId="77777777" w:rsidR="00740ED7" w:rsidRDefault="00740ED7" w:rsidP="00740ED7">
      <w:pPr>
        <w:framePr w:hSpace="180" w:wrap="around" w:vAnchor="text" w:hAnchor="margin" w:x="80" w:y="32"/>
      </w:pPr>
    </w:p>
    <w:p w14:paraId="6E3855AA" w14:textId="77777777" w:rsidR="00740ED7" w:rsidRDefault="00740ED7" w:rsidP="00740ED7">
      <w:pPr>
        <w:framePr w:hSpace="180" w:wrap="around" w:vAnchor="text" w:hAnchor="margin" w:x="80" w:y="32"/>
      </w:pPr>
    </w:p>
    <w:p w14:paraId="023B53FF" w14:textId="77777777" w:rsidR="00740ED7" w:rsidRDefault="00740ED7" w:rsidP="00740ED7">
      <w:pPr>
        <w:framePr w:hSpace="180" w:wrap="around" w:vAnchor="text" w:hAnchor="margin" w:x="80" w:y="32"/>
      </w:pPr>
    </w:p>
    <w:p w14:paraId="39120D38" w14:textId="77777777" w:rsidR="00740ED7" w:rsidRDefault="00740ED7" w:rsidP="00740ED7">
      <w:pPr>
        <w:framePr w:hSpace="180" w:wrap="around" w:vAnchor="text" w:hAnchor="margin" w:x="80" w:y="32"/>
        <w:rPr>
          <w:sz w:val="36"/>
          <w:szCs w:val="36"/>
        </w:rPr>
      </w:pPr>
      <w:r w:rsidRPr="00AD7C21">
        <w:rPr>
          <w:sz w:val="36"/>
          <w:szCs w:val="36"/>
        </w:rPr>
        <w:t>Document for discussion and acceptance</w:t>
      </w:r>
    </w:p>
    <w:p w14:paraId="0491DDF0" w14:textId="77777777" w:rsidR="00740ED7" w:rsidRDefault="00740ED7" w:rsidP="00740ED7">
      <w:pPr>
        <w:framePr w:hSpace="180" w:wrap="around" w:vAnchor="text" w:hAnchor="margin" w:x="80" w:y="32"/>
        <w:rPr>
          <w:sz w:val="36"/>
          <w:szCs w:val="36"/>
        </w:rPr>
      </w:pPr>
    </w:p>
    <w:p w14:paraId="6AFBFA54" w14:textId="77777777" w:rsidR="00740ED7" w:rsidRDefault="00740ED7" w:rsidP="00740ED7">
      <w:pPr>
        <w:framePr w:hSpace="180" w:wrap="around" w:vAnchor="text" w:hAnchor="margin" w:x="80" w:y="32"/>
        <w:rPr>
          <w:sz w:val="36"/>
          <w:szCs w:val="36"/>
        </w:rPr>
      </w:pPr>
    </w:p>
    <w:p w14:paraId="5FBF66EB" w14:textId="77777777" w:rsidR="00740ED7" w:rsidRDefault="00740ED7" w:rsidP="00740ED7">
      <w:pPr>
        <w:framePr w:hSpace="180" w:wrap="around" w:vAnchor="text" w:hAnchor="margin" w:x="80" w:y="32"/>
        <w:rPr>
          <w:sz w:val="36"/>
          <w:szCs w:val="36"/>
        </w:rPr>
      </w:pPr>
    </w:p>
    <w:p w14:paraId="4CDC2FB2" w14:textId="77777777" w:rsidR="00740ED7" w:rsidRPr="002827FB" w:rsidRDefault="00F77988" w:rsidP="00740ED7">
      <w:pPr>
        <w:framePr w:hSpace="180" w:wrap="around" w:vAnchor="text" w:hAnchor="margin" w:x="80" w:y="32"/>
        <w:rPr>
          <w:sz w:val="32"/>
          <w:szCs w:val="36"/>
        </w:rPr>
      </w:pPr>
      <w:r>
        <w:rPr>
          <w:sz w:val="32"/>
          <w:szCs w:val="36"/>
        </w:rPr>
        <w:t>CEG</w:t>
      </w:r>
      <w:r w:rsidR="00740ED7" w:rsidRPr="002827FB">
        <w:rPr>
          <w:sz w:val="32"/>
          <w:szCs w:val="36"/>
        </w:rPr>
        <w:t xml:space="preserve"> meeting</w:t>
      </w:r>
    </w:p>
    <w:p w14:paraId="4D80EC38" w14:textId="0076A2B7" w:rsidR="00740ED7" w:rsidRPr="002827FB" w:rsidRDefault="00D55ED8" w:rsidP="00740ED7">
      <w:pPr>
        <w:framePr w:hSpace="180" w:wrap="around" w:vAnchor="text" w:hAnchor="margin" w:x="80" w:y="32"/>
        <w:rPr>
          <w:sz w:val="32"/>
          <w:szCs w:val="36"/>
        </w:rPr>
      </w:pPr>
      <w:r>
        <w:rPr>
          <w:rFonts w:ascii="Arial" w:hAnsi="Arial" w:cs="Arial"/>
          <w:sz w:val="28"/>
          <w:lang w:val="en-US"/>
        </w:rPr>
        <w:t>Sep</w:t>
      </w:r>
      <w:r w:rsidR="00AC623F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  <w:lang w:val="en-US"/>
        </w:rPr>
        <w:t>xx</w:t>
      </w:r>
      <w:r w:rsidR="00D41C15" w:rsidRPr="00D41C15">
        <w:rPr>
          <w:rFonts w:ascii="Arial" w:hAnsi="Arial" w:cs="Arial"/>
          <w:sz w:val="28"/>
          <w:vertAlign w:val="superscript"/>
          <w:lang w:val="en-US"/>
        </w:rPr>
        <w:t>th</w:t>
      </w:r>
      <w:r w:rsidR="00740ED7" w:rsidRPr="002827FB">
        <w:rPr>
          <w:rFonts w:ascii="Arial" w:hAnsi="Arial" w:cs="Arial"/>
          <w:b/>
          <w:sz w:val="28"/>
          <w:lang w:val="en-US"/>
        </w:rPr>
        <w:t>,</w:t>
      </w:r>
      <w:r w:rsidR="00E46D5C" w:rsidRPr="002827FB">
        <w:rPr>
          <w:rFonts w:ascii="Arial" w:hAnsi="Arial" w:cs="Arial"/>
          <w:b/>
          <w:sz w:val="28"/>
          <w:lang w:val="en-US"/>
        </w:rPr>
        <w:t xml:space="preserve"> </w:t>
      </w:r>
      <w:r w:rsidR="00740ED7" w:rsidRPr="002827FB">
        <w:rPr>
          <w:sz w:val="32"/>
          <w:szCs w:val="36"/>
        </w:rPr>
        <w:t>2019</w:t>
      </w:r>
    </w:p>
    <w:p w14:paraId="65F2F443" w14:textId="77777777" w:rsidR="0081266A" w:rsidRPr="008154ED" w:rsidRDefault="0081266A" w:rsidP="00740ED7">
      <w:pPr>
        <w:pStyle w:val="Header"/>
        <w:tabs>
          <w:tab w:val="clear" w:pos="4153"/>
          <w:tab w:val="clear" w:pos="8306"/>
          <w:tab w:val="right" w:pos="9356"/>
          <w:tab w:val="right" w:pos="10206"/>
        </w:tabs>
        <w:rPr>
          <w:rFonts w:ascii="Arial" w:hAnsi="Arial" w:cs="Arial"/>
          <w:b/>
          <w:iCs/>
          <w:sz w:val="24"/>
          <w:lang w:val="en-US"/>
        </w:rPr>
      </w:pPr>
      <w:r w:rsidRPr="008154ED">
        <w:rPr>
          <w:rFonts w:ascii="Arial" w:hAnsi="Arial" w:cs="Arial"/>
          <w:b/>
          <w:sz w:val="24"/>
          <w:lang w:val="en-US"/>
        </w:rPr>
        <w:tab/>
      </w:r>
    </w:p>
    <w:p w14:paraId="349198F7" w14:textId="77777777" w:rsidR="0081266A" w:rsidRPr="00FE1B92" w:rsidRDefault="0081266A" w:rsidP="0081266A">
      <w:pPr>
        <w:pStyle w:val="Header"/>
        <w:tabs>
          <w:tab w:val="clear" w:pos="8306"/>
          <w:tab w:val="right" w:pos="9864"/>
        </w:tabs>
        <w:spacing w:after="120"/>
        <w:rPr>
          <w:rFonts w:ascii="Arial" w:hAnsi="Arial" w:cs="Arial"/>
          <w:sz w:val="24"/>
          <w:lang w:val="en-US"/>
        </w:rPr>
      </w:pPr>
      <w:r w:rsidRPr="00FE1B92">
        <w:rPr>
          <w:rFonts w:ascii="Arial" w:hAnsi="Arial" w:cs="Arial"/>
          <w:sz w:val="24"/>
          <w:lang w:val="en-US"/>
        </w:rPr>
        <w:tab/>
      </w:r>
    </w:p>
    <w:p w14:paraId="50A6016A" w14:textId="475B5CAD" w:rsidR="00740ED7" w:rsidRPr="00E81F3D" w:rsidRDefault="005F5E2D" w:rsidP="00AC623F">
      <w:pPr>
        <w:spacing w:after="120"/>
        <w:ind w:left="1985" w:hanging="1985"/>
        <w:rPr>
          <w:bCs/>
          <w:sz w:val="36"/>
          <w:lang w:val="en-US"/>
        </w:rPr>
      </w:pPr>
      <w:r>
        <w:rPr>
          <w:rFonts w:ascii="Arial" w:hAnsi="Arial" w:cs="Arial"/>
          <w:b/>
          <w:lang w:val="en-US"/>
        </w:rPr>
        <w:t xml:space="preserve"> </w:t>
      </w:r>
      <w:r w:rsidR="00825AB2" w:rsidRPr="00E81F3D">
        <w:rPr>
          <w:sz w:val="36"/>
          <w:lang w:val="en-US"/>
        </w:rPr>
        <w:t>Source:</w:t>
      </w:r>
      <w:r w:rsidR="00740ED7" w:rsidRPr="00E81F3D">
        <w:rPr>
          <w:b/>
          <w:sz w:val="36"/>
          <w:lang w:val="en-US"/>
        </w:rPr>
        <w:t xml:space="preserve"> </w:t>
      </w:r>
      <w:r w:rsidR="00AC623F">
        <w:rPr>
          <w:bCs/>
          <w:sz w:val="36"/>
          <w:lang w:val="en-US"/>
        </w:rPr>
        <w:t>BELL MOBILITY, TELUS</w:t>
      </w:r>
    </w:p>
    <w:p w14:paraId="0B911681" w14:textId="77777777" w:rsidR="0081266A" w:rsidRPr="00E81F3D" w:rsidRDefault="0081266A" w:rsidP="009D5B98">
      <w:pPr>
        <w:pBdr>
          <w:bottom w:val="single" w:sz="4" w:space="31" w:color="auto"/>
        </w:pBdr>
        <w:rPr>
          <w:rFonts w:ascii="Arial" w:hAnsi="Arial" w:cs="Arial"/>
          <w:lang w:val="en-US"/>
        </w:rPr>
      </w:pPr>
    </w:p>
    <w:p w14:paraId="581901EB" w14:textId="77777777" w:rsidR="00F90F74" w:rsidRPr="00E81F3D" w:rsidRDefault="00F90F74" w:rsidP="008D2AB7">
      <w:pPr>
        <w:rPr>
          <w:lang w:val="en-US"/>
        </w:rPr>
      </w:pPr>
    </w:p>
    <w:p w14:paraId="526B70E8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7ED75AA1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26BCD757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359DDA08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03C22BF1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4B1C7785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1E220149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19980A70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78D53803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26D2B650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7CA8F233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7860983E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2CBD7D55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7C7DF4A0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071E9AA9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3C1FF4AD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30FA5BED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0FA56D17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5856C499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447A4FC8" w14:textId="39683481" w:rsidR="00F4521D" w:rsidRPr="00D832EB" w:rsidRDefault="00F4521D" w:rsidP="00DD65B2">
      <w:pPr>
        <w:pStyle w:val="Heading1"/>
        <w:numPr>
          <w:ilvl w:val="0"/>
          <w:numId w:val="4"/>
        </w:numPr>
        <w:rPr>
          <w:sz w:val="28"/>
          <w:lang w:val="en-US"/>
        </w:rPr>
      </w:pPr>
      <w:r w:rsidRPr="00273209">
        <w:rPr>
          <w:lang w:val="en-US"/>
        </w:rPr>
        <w:lastRenderedPageBreak/>
        <w:t>Peak Spectral Efficiency</w:t>
      </w:r>
      <w:r w:rsidR="00095E93">
        <w:rPr>
          <w:lang w:val="en-US"/>
        </w:rPr>
        <w:t xml:space="preserve"> and Peak Data Rate</w:t>
      </w:r>
    </w:p>
    <w:p w14:paraId="23539096" w14:textId="2494EF4E" w:rsidR="00F4521D" w:rsidRDefault="00F4521D" w:rsidP="00DD65B2">
      <w:pPr>
        <w:rPr>
          <w:lang w:val="en-US"/>
        </w:rPr>
      </w:pPr>
      <w:r>
        <w:rPr>
          <w:lang w:val="en-US"/>
        </w:rPr>
        <w:t xml:space="preserve">As </w:t>
      </w:r>
      <w:r w:rsidR="001D1C10">
        <w:rPr>
          <w:lang w:val="en-US"/>
        </w:rPr>
        <w:t>specified in</w:t>
      </w:r>
      <w:r>
        <w:rPr>
          <w:lang w:val="en-US"/>
        </w:rPr>
        <w:t xml:space="preserve"> </w:t>
      </w:r>
      <w:r w:rsidRPr="00D7050A">
        <w:rPr>
          <w:lang w:val="en-US"/>
        </w:rPr>
        <w:t>Report ITU-R M.2410-0</w:t>
      </w:r>
      <w:r w:rsidR="00374874">
        <w:rPr>
          <w:lang w:val="en-US"/>
        </w:rPr>
        <w:t xml:space="preserve"> [1</w:t>
      </w:r>
      <w:r>
        <w:rPr>
          <w:lang w:val="en-US"/>
        </w:rPr>
        <w:t>], t</w:t>
      </w:r>
      <w:r w:rsidRPr="00FE415C">
        <w:rPr>
          <w:lang w:val="en-US"/>
        </w:rPr>
        <w:t>he minimum requirements for peak spectral efficiencies for the purpose of evaluation in the eMBB usage scenario</w:t>
      </w:r>
      <w:r>
        <w:rPr>
          <w:lang w:val="en-US"/>
        </w:rPr>
        <w:t xml:space="preserve"> </w:t>
      </w:r>
      <w:r w:rsidRPr="00FE415C">
        <w:rPr>
          <w:lang w:val="en-US"/>
        </w:rPr>
        <w:t xml:space="preserve">are </w:t>
      </w:r>
      <w:r>
        <w:rPr>
          <w:lang w:val="en-US"/>
        </w:rPr>
        <w:t>defined as below</w:t>
      </w:r>
      <w:r w:rsidRPr="00FE415C">
        <w:rPr>
          <w:lang w:val="en-US"/>
        </w:rPr>
        <w:t>:</w:t>
      </w:r>
    </w:p>
    <w:p w14:paraId="2E01B63B" w14:textId="77777777" w:rsidR="008B6A1A" w:rsidRDefault="008B6A1A" w:rsidP="00DD65B2">
      <w:pPr>
        <w:rPr>
          <w:lang w:val="en-US"/>
        </w:rPr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705"/>
        <w:gridCol w:w="1710"/>
        <w:gridCol w:w="1710"/>
        <w:gridCol w:w="1710"/>
      </w:tblGrid>
      <w:tr w:rsidR="00457746" w14:paraId="3E96E6FE" w14:textId="14F7A49C" w:rsidTr="00DD65B2">
        <w:tc>
          <w:tcPr>
            <w:tcW w:w="1705" w:type="dxa"/>
          </w:tcPr>
          <w:p w14:paraId="57DE97AB" w14:textId="77777777" w:rsidR="00457746" w:rsidRDefault="00457746" w:rsidP="00457746">
            <w:pPr>
              <w:keepNext/>
              <w:keepLines/>
              <w:spacing w:before="120" w:after="180"/>
              <w:outlineLvl w:val="2"/>
              <w:rPr>
                <w:lang w:val="en-US"/>
              </w:rPr>
            </w:pPr>
          </w:p>
        </w:tc>
        <w:tc>
          <w:tcPr>
            <w:tcW w:w="1710" w:type="dxa"/>
          </w:tcPr>
          <w:p w14:paraId="2AE56D17" w14:textId="77777777" w:rsidR="00457746" w:rsidRDefault="00457746" w:rsidP="0045774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Antenna Configuration (No. of Spatial Layers)</w:t>
            </w:r>
          </w:p>
        </w:tc>
        <w:tc>
          <w:tcPr>
            <w:tcW w:w="1710" w:type="dxa"/>
          </w:tcPr>
          <w:p w14:paraId="3A164FEC" w14:textId="32E02A91" w:rsidR="00457746" w:rsidRDefault="00457746" w:rsidP="0045774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Peak Spectral Efficiency (bit/s/Hz)</w:t>
            </w:r>
          </w:p>
        </w:tc>
        <w:tc>
          <w:tcPr>
            <w:tcW w:w="1710" w:type="dxa"/>
          </w:tcPr>
          <w:p w14:paraId="3C73DC2E" w14:textId="03C3F35E" w:rsidR="00457746" w:rsidRDefault="00457746" w:rsidP="0045774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Peak Data Rate (Gbps)</w:t>
            </w:r>
          </w:p>
        </w:tc>
      </w:tr>
      <w:tr w:rsidR="00457746" w14:paraId="7E10BB5F" w14:textId="7AE8719C" w:rsidTr="00DD65B2">
        <w:tc>
          <w:tcPr>
            <w:tcW w:w="1705" w:type="dxa"/>
          </w:tcPr>
          <w:p w14:paraId="3E287DBC" w14:textId="77777777" w:rsidR="00457746" w:rsidRDefault="00457746" w:rsidP="0045774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Downlink</w:t>
            </w:r>
          </w:p>
        </w:tc>
        <w:tc>
          <w:tcPr>
            <w:tcW w:w="1710" w:type="dxa"/>
          </w:tcPr>
          <w:p w14:paraId="018C4A72" w14:textId="77777777" w:rsidR="00457746" w:rsidRDefault="00457746" w:rsidP="0045774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710" w:type="dxa"/>
          </w:tcPr>
          <w:p w14:paraId="2A14EAA7" w14:textId="5CCDD9BC" w:rsidR="00457746" w:rsidRDefault="00457746" w:rsidP="0045774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710" w:type="dxa"/>
          </w:tcPr>
          <w:p w14:paraId="02D1C150" w14:textId="6443E229" w:rsidR="00457746" w:rsidRDefault="00457746" w:rsidP="0045774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457746" w14:paraId="77C6572D" w14:textId="45BE9CB6" w:rsidTr="00DD65B2">
        <w:tc>
          <w:tcPr>
            <w:tcW w:w="1705" w:type="dxa"/>
          </w:tcPr>
          <w:p w14:paraId="62F1220C" w14:textId="77777777" w:rsidR="00457746" w:rsidRDefault="00457746" w:rsidP="0045774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Uplink</w:t>
            </w:r>
          </w:p>
        </w:tc>
        <w:tc>
          <w:tcPr>
            <w:tcW w:w="1710" w:type="dxa"/>
          </w:tcPr>
          <w:p w14:paraId="333E4ABF" w14:textId="77777777" w:rsidR="00457746" w:rsidRDefault="00457746" w:rsidP="0045774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710" w:type="dxa"/>
          </w:tcPr>
          <w:p w14:paraId="248D7239" w14:textId="6026F210" w:rsidR="00457746" w:rsidRDefault="00457746" w:rsidP="0045774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710" w:type="dxa"/>
          </w:tcPr>
          <w:p w14:paraId="3021A4E4" w14:textId="1B482480" w:rsidR="00457746" w:rsidRDefault="00457746" w:rsidP="0045774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</w:tbl>
    <w:p w14:paraId="0F0B58BB" w14:textId="77777777" w:rsidR="00F4521D" w:rsidRDefault="00F4521D" w:rsidP="00DD65B2">
      <w:pPr>
        <w:rPr>
          <w:lang w:val="en-US"/>
        </w:rPr>
      </w:pPr>
    </w:p>
    <w:p w14:paraId="6C891E2D" w14:textId="4A278F55" w:rsidR="001D1C10" w:rsidRDefault="00017802" w:rsidP="00DD65B2">
      <w:pPr>
        <w:rPr>
          <w:lang w:val="en-US"/>
        </w:rPr>
      </w:pPr>
      <w:r>
        <w:rPr>
          <w:lang w:val="en-US"/>
        </w:rPr>
        <w:t>T</w:t>
      </w:r>
      <w:r w:rsidR="00F4521D" w:rsidRPr="00D7050A">
        <w:rPr>
          <w:lang w:val="en-US"/>
        </w:rPr>
        <w:t>he following outlines the results of the detailed analyses of Peak Spectral Efficiency</w:t>
      </w:r>
      <w:r w:rsidR="007C303B">
        <w:rPr>
          <w:lang w:val="en-US"/>
        </w:rPr>
        <w:t xml:space="preserve"> for both NR and LTE</w:t>
      </w:r>
    </w:p>
    <w:p w14:paraId="2FB8DBF1" w14:textId="77777777" w:rsidR="001D1C10" w:rsidRDefault="001D1C10" w:rsidP="00DD65B2">
      <w:pPr>
        <w:rPr>
          <w:lang w:val="en-US"/>
        </w:rPr>
      </w:pPr>
    </w:p>
    <w:p w14:paraId="4417A051" w14:textId="635785E7" w:rsidR="001D1C10" w:rsidRDefault="001D1C10" w:rsidP="00DD65B2">
      <w:pPr>
        <w:pStyle w:val="Heading2"/>
        <w:rPr>
          <w:lang w:val="en-US"/>
        </w:rPr>
      </w:pPr>
      <w:r>
        <w:rPr>
          <w:lang w:val="en-US"/>
        </w:rPr>
        <w:t>NR peak spectral efficiency</w:t>
      </w:r>
    </w:p>
    <w:p w14:paraId="645CBEAC" w14:textId="77777777" w:rsidR="00B82664" w:rsidRPr="00B82664" w:rsidRDefault="00B82664" w:rsidP="00DD65B2">
      <w:pPr>
        <w:rPr>
          <w:lang w:val="en-US"/>
        </w:rPr>
      </w:pPr>
    </w:p>
    <w:p w14:paraId="4157A951" w14:textId="72B4EDD6" w:rsidR="00F4521D" w:rsidRDefault="001D1C10" w:rsidP="00DD65B2">
      <w:pPr>
        <w:rPr>
          <w:lang w:val="en-US"/>
        </w:rPr>
      </w:pPr>
      <w:r>
        <w:rPr>
          <w:lang w:val="en-US"/>
        </w:rPr>
        <w:t>For the NR, t</w:t>
      </w:r>
      <w:r w:rsidR="00F4521D" w:rsidRPr="00D7050A">
        <w:rPr>
          <w:lang w:val="en-US"/>
        </w:rPr>
        <w:t xml:space="preserve">he </w:t>
      </w:r>
      <w:r w:rsidR="00E73830">
        <w:rPr>
          <w:lang w:val="en-US"/>
        </w:rPr>
        <w:t xml:space="preserve">generic </w:t>
      </w:r>
      <w:r w:rsidR="00F4521D" w:rsidRPr="00D7050A">
        <w:rPr>
          <w:lang w:val="en-US"/>
        </w:rPr>
        <w:t>peak s</w:t>
      </w:r>
      <w:r w:rsidR="00E73830">
        <w:rPr>
          <w:lang w:val="en-US"/>
        </w:rPr>
        <w:t>pectral efficiency per carrier component can be calculated using</w:t>
      </w:r>
      <w:r>
        <w:rPr>
          <w:lang w:val="en-US"/>
        </w:rPr>
        <w:t xml:space="preserve"> the</w:t>
      </w:r>
      <w:r w:rsidR="00E73830">
        <w:rPr>
          <w:lang w:val="en-US"/>
        </w:rPr>
        <w:t xml:space="preserve"> formula</w:t>
      </w:r>
      <w:r>
        <w:rPr>
          <w:lang w:val="en-US"/>
        </w:rPr>
        <w:t xml:space="preserve"> </w:t>
      </w:r>
      <w:r w:rsidR="008B6A1A">
        <w:rPr>
          <w:lang w:val="en-US"/>
        </w:rPr>
        <w:t xml:space="preserve">given </w:t>
      </w:r>
      <w:r>
        <w:rPr>
          <w:lang w:val="en-US"/>
        </w:rPr>
        <w:t>below:</w:t>
      </w:r>
    </w:p>
    <w:p w14:paraId="6C4187E0" w14:textId="6C4A1518" w:rsidR="00E73830" w:rsidRPr="00D7050A" w:rsidRDefault="00E73830" w:rsidP="00DD65B2">
      <w:pPr>
        <w:jc w:val="center"/>
        <w:rPr>
          <w:lang w:val="en-US"/>
        </w:rPr>
      </w:pPr>
      <w:r>
        <w:rPr>
          <w:lang w:eastAsia="zh-CN"/>
        </w:rPr>
        <w:object w:dxaOrig="4890" w:dyaOrig="870" w14:anchorId="5621DD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4.5pt;height:43.5pt" o:ole="">
            <v:imagedata r:id="rId12" o:title=""/>
          </v:shape>
          <o:OLEObject Type="Embed" ProgID="Equation.3" ShapeID="_x0000_i1025" DrawAspect="Content" ObjectID="_1629026767" r:id="rId13"/>
        </w:object>
      </w:r>
    </w:p>
    <w:p w14:paraId="389D13E3" w14:textId="77777777" w:rsidR="00DD65B2" w:rsidRDefault="00DD65B2" w:rsidP="00DD65B2">
      <w:pPr>
        <w:rPr>
          <w:lang w:val="en-CA"/>
        </w:rPr>
      </w:pPr>
    </w:p>
    <w:p w14:paraId="51E9C8C1" w14:textId="107A8BEB" w:rsidR="00E73830" w:rsidRPr="00400AB7" w:rsidRDefault="00292DB0" w:rsidP="00DD65B2">
      <w:pPr>
        <w:rPr>
          <w:lang w:val="en-CA"/>
        </w:rPr>
      </w:pPr>
      <w:r>
        <w:rPr>
          <w:lang w:val="en-CA"/>
        </w:rPr>
        <w:t xml:space="preserve">Where </w:t>
      </w:r>
      <m:oMath>
        <m:sSub>
          <m:sSubPr>
            <m:ctrlPr>
              <w:rPr>
                <w:rFonts w:ascii="Cambria Math" w:hAnsi="Cambria Math"/>
                <w:i/>
                <w:lang w:val="en-CA"/>
              </w:rPr>
            </m:ctrlPr>
          </m:sSubPr>
          <m:e>
            <m:r>
              <w:rPr>
                <w:rFonts w:ascii="Cambria Math" w:hAnsi="Cambria Math"/>
                <w:lang w:val="en-CA"/>
              </w:rPr>
              <m:t>R</m:t>
            </m:r>
          </m:e>
          <m:sub>
            <m:r>
              <w:rPr>
                <w:rFonts w:ascii="Cambria Math" w:hAnsi="Cambria Math"/>
                <w:lang w:val="en-CA"/>
              </w:rPr>
              <m:t>max</m:t>
            </m:r>
          </m:sub>
        </m:sSub>
      </m:oMath>
      <w:r w:rsidR="004B6B0A">
        <w:rPr>
          <w:lang w:val="en-CA"/>
        </w:rPr>
        <w:t xml:space="preserve"> is the maximum coding rate, and</w:t>
      </w:r>
    </w:p>
    <w:p w14:paraId="4D92A47F" w14:textId="77777777" w:rsidR="00B82664" w:rsidRDefault="00B82664" w:rsidP="00DD65B2"/>
    <w:p w14:paraId="10C771A1" w14:textId="77777777" w:rsidR="00E73830" w:rsidRDefault="00E73830" w:rsidP="00DD65B2">
      <w:pPr>
        <w:rPr>
          <w:lang w:val="en-CA"/>
        </w:rPr>
      </w:pPr>
      <w:r w:rsidRPr="00E22601">
        <w:t>For the</w:t>
      </w:r>
      <w:r>
        <w:t xml:space="preserve"> </w:t>
      </w:r>
      <m:oMath>
        <m:r>
          <w:rPr>
            <w:rFonts w:ascii="Cambria Math" w:hAnsi="Cambria Math"/>
          </w:rPr>
          <m:t>j-th</m:t>
        </m:r>
      </m:oMath>
      <w:r w:rsidRPr="00E22601">
        <w:t xml:space="preserve"> CC:</w:t>
      </w:r>
    </w:p>
    <w:p w14:paraId="4E5ED4FA" w14:textId="39073F34" w:rsidR="00E73830" w:rsidRPr="004B6B0A" w:rsidRDefault="00811CEE" w:rsidP="00DD65B2">
      <w:pPr>
        <w:pStyle w:val="ListParagraph"/>
        <w:numPr>
          <w:ilvl w:val="0"/>
          <w:numId w:val="6"/>
        </w:numPr>
      </w:pPr>
      <m:oMath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Layers</m:t>
            </m:r>
          </m:sub>
          <m:sup>
            <m:r>
              <w:rPr>
                <w:rFonts w:ascii="Cambria Math" w:hAnsi="Cambria Math"/>
              </w:rPr>
              <m:t>(j)</m:t>
            </m:r>
          </m:sup>
        </m:sSubSup>
      </m:oMath>
      <w:r w:rsidR="00E73830" w:rsidRPr="00E22601">
        <w:t xml:space="preserve"> </w:t>
      </w:r>
      <w:r w:rsidR="00E73830" w:rsidRPr="004B6B0A">
        <w:t>is the maximum number of MIMO layers</w:t>
      </w:r>
    </w:p>
    <w:p w14:paraId="271D4A19" w14:textId="518E7882" w:rsidR="00E73830" w:rsidRPr="00B82664" w:rsidRDefault="00811CEE" w:rsidP="00DD65B2">
      <w:pPr>
        <w:pStyle w:val="ListParagraph"/>
        <w:numPr>
          <w:ilvl w:val="0"/>
          <w:numId w:val="6"/>
        </w:numPr>
        <w:rPr>
          <w:lang w:val="en-CA"/>
        </w:rPr>
      </w:pPr>
      <m:oMath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m</m:t>
            </m:r>
          </m:sub>
          <m:sup>
            <m:r>
              <w:rPr>
                <w:rFonts w:ascii="Cambria Math" w:hAnsi="Cambria Math"/>
              </w:rPr>
              <m:t>(j)</m:t>
            </m:r>
          </m:sup>
        </m:sSubSup>
      </m:oMath>
      <w:r w:rsidR="00E73830" w:rsidRPr="004B6B0A">
        <w:t xml:space="preserve">is the </w:t>
      </w:r>
      <w:r w:rsidR="004B4546" w:rsidRPr="004B6B0A">
        <w:t>highest</w:t>
      </w:r>
      <w:r w:rsidR="00E73830" w:rsidRPr="004B6B0A">
        <w:t xml:space="preserve"> modulation order</w:t>
      </w:r>
    </w:p>
    <w:p w14:paraId="29B05B4E" w14:textId="5F170E85" w:rsidR="00E73830" w:rsidRPr="00B82664" w:rsidRDefault="00811CEE" w:rsidP="00DD65B2">
      <w:pPr>
        <w:pStyle w:val="ListParagraph"/>
        <w:numPr>
          <w:ilvl w:val="0"/>
          <w:numId w:val="6"/>
        </w:numPr>
        <w:rPr>
          <w:lang w:val="en-CA"/>
        </w:rPr>
      </w:pP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(j)</m:t>
            </m:r>
          </m:sup>
        </m:sSup>
      </m:oMath>
      <w:r w:rsidR="00E73830" w:rsidRPr="00E22601">
        <w:t xml:space="preserve"> </w:t>
      </w:r>
      <w:r w:rsidR="00E73830" w:rsidRPr="004B6B0A">
        <w:t xml:space="preserve">is </w:t>
      </w:r>
      <w:r w:rsidR="004B4546" w:rsidRPr="004B6B0A">
        <w:t>the scaling factor</w:t>
      </w:r>
    </w:p>
    <w:p w14:paraId="6DAB77FB" w14:textId="77777777" w:rsidR="00E73830" w:rsidRPr="00B82664" w:rsidRDefault="00E73830" w:rsidP="00DD65B2">
      <w:pPr>
        <w:pStyle w:val="ListParagraph"/>
        <w:numPr>
          <w:ilvl w:val="0"/>
          <w:numId w:val="6"/>
        </w:numPr>
        <w:rPr>
          <w:lang w:val="en-CA"/>
        </w:rPr>
      </w:pPr>
      <m:oMath>
        <m:r>
          <w:rPr>
            <w:rFonts w:ascii="Cambria Math" w:hAnsi="Cambria Math"/>
          </w:rPr>
          <m:t>μ</m:t>
        </m:r>
      </m:oMath>
      <w:r w:rsidRPr="00E22601">
        <w:t xml:space="preserve"> </w:t>
      </w:r>
      <w:r w:rsidRPr="004B6B0A">
        <w:t>is the numerology (as defined in TS 38.211)</w:t>
      </w:r>
    </w:p>
    <w:p w14:paraId="6626BE4F" w14:textId="77777777" w:rsidR="00E73830" w:rsidRPr="00B82664" w:rsidRDefault="00811CEE" w:rsidP="00DD65B2">
      <w:pPr>
        <w:pStyle w:val="ListParagraph"/>
        <w:numPr>
          <w:ilvl w:val="0"/>
          <w:numId w:val="6"/>
        </w:numPr>
        <w:rPr>
          <w:lang w:val="en-CA"/>
        </w:rPr>
      </w:pPr>
      <m:oMath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s</m:t>
            </m:r>
          </m:sub>
          <m:sup>
            <m:r>
              <w:rPr>
                <w:rFonts w:ascii="Cambria Math" w:hAnsi="Cambria Math"/>
              </w:rPr>
              <m:t>μ</m:t>
            </m:r>
          </m:sup>
        </m:sSubSup>
      </m:oMath>
      <w:r w:rsidR="00E73830" w:rsidRPr="00E22601">
        <w:t xml:space="preserve"> </w:t>
      </w:r>
      <w:r w:rsidR="00E73830" w:rsidRPr="004B6B0A">
        <w:t xml:space="preserve">is the average OFDM symbol duration in a subframe for numerology </w:t>
      </w:r>
      <m:oMath>
        <m:r>
          <w:rPr>
            <w:rFonts w:ascii="Cambria Math" w:hAnsi="Cambria Math"/>
          </w:rPr>
          <m:t>μ</m:t>
        </m:r>
      </m:oMath>
      <w:r w:rsidR="00E73830" w:rsidRPr="004B6B0A">
        <w:t>, that is,</w:t>
      </w:r>
      <w:r w:rsidR="00E73830" w:rsidRPr="00E22601">
        <w:t xml:space="preserve"> </w:t>
      </w:r>
      <m:oMath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s</m:t>
            </m:r>
          </m:sub>
          <m:sup>
            <m:r>
              <w:rPr>
                <w:rFonts w:ascii="Cambria Math" w:hAnsi="Cambria Math"/>
              </w:rPr>
              <m:t>μ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-3</m:t>
                </m:r>
              </m:sup>
            </m:sSup>
          </m:num>
          <m:den>
            <m:r>
              <w:rPr>
                <w:rFonts w:ascii="Cambria Math" w:hAnsi="Cambria Math"/>
              </w:rPr>
              <m:t>14</m:t>
            </m:r>
            <m:r>
              <w:rPr>
                <w:rFonts w:ascii="Cambria Math" w:hAnsi="Cambria Math" w:hint="eastAsia"/>
              </w:rPr>
              <m:t>×</m:t>
            </m:r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μ</m:t>
                </m:r>
              </m:sup>
            </m:sSup>
          </m:den>
        </m:f>
      </m:oMath>
      <w:r w:rsidR="00E73830" w:rsidRPr="00E22601">
        <w:t xml:space="preserve">. </w:t>
      </w:r>
      <w:r w:rsidR="00E73830" w:rsidRPr="004B6B0A">
        <w:t>(Normal cyclic prefix is assumed)</w:t>
      </w:r>
      <w:r w:rsidR="00E73830" w:rsidRPr="00E22601">
        <w:t xml:space="preserve"> </w:t>
      </w:r>
    </w:p>
    <w:p w14:paraId="775FCCB7" w14:textId="77777777" w:rsidR="00E73830" w:rsidRPr="00B82664" w:rsidRDefault="00811CEE" w:rsidP="00DD65B2">
      <w:pPr>
        <w:pStyle w:val="ListParagraph"/>
        <w:numPr>
          <w:ilvl w:val="0"/>
          <w:numId w:val="6"/>
        </w:numPr>
        <w:rPr>
          <w:lang w:val="en-CA"/>
        </w:rPr>
      </w:pPr>
      <m:oMath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PRB</m:t>
            </m:r>
          </m:sub>
          <m:sup>
            <m:r>
              <w:rPr>
                <w:rFonts w:ascii="Cambria Math" w:hAnsi="Cambria Math"/>
              </w:rPr>
              <m:t>BW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j</m:t>
                </m:r>
              </m:e>
            </m:d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 w:hint="eastAsia"/>
              </w:rPr>
              <m:t> </m:t>
            </m:r>
            <m:r>
              <w:rPr>
                <w:rFonts w:ascii="Cambria Math" w:hAnsi="Cambria Math"/>
              </w:rPr>
              <m:t>μ</m:t>
            </m:r>
          </m:sup>
        </m:sSubSup>
      </m:oMath>
      <w:r w:rsidR="00E73830" w:rsidRPr="00E22601">
        <w:t xml:space="preserve"> </w:t>
      </w:r>
      <w:r w:rsidR="00E73830" w:rsidRPr="004B6B0A">
        <w:t>is the maximum RB allocation in bandwidth</w:t>
      </w:r>
    </w:p>
    <w:p w14:paraId="313D7787" w14:textId="77777777" w:rsidR="00E73830" w:rsidRPr="00B82664" w:rsidRDefault="00E73830" w:rsidP="00DD65B2">
      <w:pPr>
        <w:pStyle w:val="ListParagraph"/>
        <w:numPr>
          <w:ilvl w:val="0"/>
          <w:numId w:val="6"/>
        </w:numPr>
        <w:rPr>
          <w:lang w:val="en-CA"/>
        </w:rPr>
      </w:pPr>
      <m:oMath>
        <m:r>
          <w:rPr>
            <w:rFonts w:ascii="Cambria Math" w:hAnsi="Cambria Math"/>
          </w:rPr>
          <m:t>BW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j</m:t>
            </m:r>
          </m:e>
        </m:d>
      </m:oMath>
      <w:r w:rsidRPr="00E22601">
        <w:t xml:space="preserve"> </w:t>
      </w:r>
      <w:r w:rsidRPr="004B6B0A">
        <w:t xml:space="preserve">with numerology </w:t>
      </w:r>
      <m:oMath>
        <m:r>
          <w:rPr>
            <w:rFonts w:ascii="Cambria Math" w:hAnsi="Cambria Math"/>
          </w:rPr>
          <m:t>μ</m:t>
        </m:r>
      </m:oMath>
      <w:r w:rsidRPr="004B6B0A">
        <w:t xml:space="preserve">  is the UE supported maximum bandwidth in the given band or band combination</w:t>
      </w:r>
      <w:r w:rsidRPr="00E22601">
        <w:t>.</w:t>
      </w:r>
    </w:p>
    <w:p w14:paraId="1E1F3104" w14:textId="77E3B1A0" w:rsidR="00E73830" w:rsidRPr="004B6B0A" w:rsidRDefault="00811CEE" w:rsidP="00DD65B2">
      <w:pPr>
        <w:pStyle w:val="ListParagraph"/>
        <w:numPr>
          <w:ilvl w:val="0"/>
          <w:numId w:val="6"/>
        </w:numPr>
      </w:pP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OH</m:t>
            </m:r>
          </m:e>
          <m:sup>
            <m:r>
              <w:rPr>
                <w:rFonts w:ascii="Cambria Math" w:hAnsi="Cambria Math"/>
              </w:rPr>
              <m:t>(j)</m:t>
            </m:r>
          </m:sup>
        </m:sSup>
      </m:oMath>
      <w:r w:rsidR="00E73830" w:rsidRPr="00E22601">
        <w:t xml:space="preserve"> i</w:t>
      </w:r>
      <w:r w:rsidR="00E73830" w:rsidRPr="004B6B0A">
        <w:t>s the overhead and takes the following values</w:t>
      </w:r>
      <w:r w:rsidR="00EE7AEB">
        <w:t xml:space="preserve"> (</w:t>
      </w:r>
      <w:r w:rsidR="00EE7AEB" w:rsidRPr="00EE7AEB">
        <w:t>3GPP 38.306</w:t>
      </w:r>
      <w:r w:rsidR="00EE7AEB">
        <w:t>)</w:t>
      </w:r>
      <w:r w:rsidR="00374874">
        <w:t xml:space="preserve"> [2]</w:t>
      </w:r>
      <w:r w:rsidR="00E73830" w:rsidRPr="004B6B0A">
        <w:t xml:space="preserve">: </w:t>
      </w:r>
    </w:p>
    <w:p w14:paraId="2DA8180F" w14:textId="77777777" w:rsidR="00E73830" w:rsidRPr="004B6B0A" w:rsidRDefault="00E73830" w:rsidP="00DD65B2">
      <w:pPr>
        <w:pStyle w:val="ListParagraph"/>
        <w:numPr>
          <w:ilvl w:val="0"/>
          <w:numId w:val="7"/>
        </w:numPr>
      </w:pPr>
      <w:r w:rsidRPr="004B6B0A">
        <w:t>0.14, for frequency range FR1 for DL</w:t>
      </w:r>
    </w:p>
    <w:p w14:paraId="24AFB45E" w14:textId="77777777" w:rsidR="00E73830" w:rsidRPr="004B6B0A" w:rsidRDefault="00E73830" w:rsidP="00DD65B2">
      <w:pPr>
        <w:pStyle w:val="ListParagraph"/>
        <w:numPr>
          <w:ilvl w:val="0"/>
          <w:numId w:val="7"/>
        </w:numPr>
      </w:pPr>
      <w:r w:rsidRPr="004B6B0A">
        <w:t>0.18, for frequency range FR2 for DL</w:t>
      </w:r>
    </w:p>
    <w:p w14:paraId="03A7477A" w14:textId="77777777" w:rsidR="00E73830" w:rsidRPr="004B6B0A" w:rsidRDefault="00E73830" w:rsidP="00DD65B2">
      <w:pPr>
        <w:pStyle w:val="ListParagraph"/>
        <w:numPr>
          <w:ilvl w:val="0"/>
          <w:numId w:val="7"/>
        </w:numPr>
      </w:pPr>
      <w:r w:rsidRPr="004B6B0A">
        <w:t>0.08, for frequency range FR1 for UL</w:t>
      </w:r>
    </w:p>
    <w:p w14:paraId="77EE3E96" w14:textId="43A4CB51" w:rsidR="003B5A25" w:rsidRPr="00017802" w:rsidRDefault="00E73830" w:rsidP="00DD65B2">
      <w:pPr>
        <w:pStyle w:val="ListParagraph"/>
        <w:numPr>
          <w:ilvl w:val="0"/>
          <w:numId w:val="7"/>
        </w:numPr>
      </w:pPr>
      <w:r w:rsidRPr="004B6B0A">
        <w:t>0.10, for frequency range FR2 for UL</w:t>
      </w:r>
    </w:p>
    <w:p w14:paraId="10CE35AF" w14:textId="698A7F17" w:rsidR="00E73830" w:rsidRDefault="00017802" w:rsidP="00DD65B2">
      <w:pPr>
        <w:rPr>
          <w:lang w:val="en-US"/>
        </w:rPr>
      </w:pPr>
      <w:r>
        <w:rPr>
          <w:lang w:val="en-US"/>
        </w:rPr>
        <w:t>For NR FDD frequency range of FR1 (</w:t>
      </w:r>
      <w:r w:rsidR="00AA61CF">
        <w:rPr>
          <w:lang w:val="en-US"/>
        </w:rPr>
        <w:t>410 MHz – 7125</w:t>
      </w:r>
      <w:r w:rsidRPr="00017802">
        <w:rPr>
          <w:lang w:val="en-US"/>
        </w:rPr>
        <w:t xml:space="preserve"> MHz</w:t>
      </w:r>
      <w:r>
        <w:rPr>
          <w:lang w:val="en-US"/>
        </w:rPr>
        <w:t>) DL peak spectr</w:t>
      </w:r>
      <w:r w:rsidR="00DD65B2">
        <w:rPr>
          <w:lang w:val="en-US"/>
        </w:rPr>
        <w:t xml:space="preserve">al efficiencies for different channel bandwidths are </w:t>
      </w:r>
      <w:r>
        <w:rPr>
          <w:lang w:val="en-US"/>
        </w:rPr>
        <w:t>cal</w:t>
      </w:r>
      <w:r w:rsidR="00E022E1">
        <w:rPr>
          <w:lang w:val="en-US"/>
        </w:rPr>
        <w:t>culated and presented in Table 2</w:t>
      </w:r>
      <w:r w:rsidRPr="00017802">
        <w:rPr>
          <w:lang w:val="en-US"/>
        </w:rPr>
        <w:t xml:space="preserve">. The detailed assumptions </w:t>
      </w:r>
      <w:r>
        <w:rPr>
          <w:lang w:val="en-US"/>
        </w:rPr>
        <w:t xml:space="preserve">used in the evaluation are </w:t>
      </w:r>
      <w:r w:rsidR="00DD65B2">
        <w:rPr>
          <w:lang w:val="en-US"/>
        </w:rPr>
        <w:t>provided in Table 1</w:t>
      </w:r>
      <w:r>
        <w:rPr>
          <w:lang w:val="en-US"/>
        </w:rPr>
        <w:t>:</w:t>
      </w:r>
    </w:p>
    <w:p w14:paraId="086B580F" w14:textId="70AFF6E2" w:rsidR="00E022E1" w:rsidRDefault="00E022E1" w:rsidP="00DD65B2">
      <w:pPr>
        <w:rPr>
          <w:lang w:val="en-US"/>
        </w:rPr>
      </w:pPr>
    </w:p>
    <w:p w14:paraId="52C7FF2F" w14:textId="77777777" w:rsidR="00B82664" w:rsidRDefault="00B82664" w:rsidP="00DD65B2">
      <w:pPr>
        <w:jc w:val="center"/>
        <w:rPr>
          <w:b/>
          <w:bCs/>
          <w:lang w:val="en-CA"/>
        </w:rPr>
      </w:pPr>
    </w:p>
    <w:p w14:paraId="5D959B2B" w14:textId="77777777" w:rsidR="00B82664" w:rsidRDefault="00B82664" w:rsidP="00DD65B2">
      <w:pPr>
        <w:jc w:val="center"/>
        <w:rPr>
          <w:b/>
          <w:bCs/>
          <w:lang w:val="en-CA"/>
        </w:rPr>
      </w:pPr>
    </w:p>
    <w:p w14:paraId="299F21EE" w14:textId="254A2C2B" w:rsidR="00E022E1" w:rsidRDefault="00E022E1" w:rsidP="00DD65B2">
      <w:pPr>
        <w:jc w:val="center"/>
        <w:rPr>
          <w:lang w:val="en-CA"/>
        </w:rPr>
      </w:pPr>
      <w:r w:rsidRPr="00E022E1">
        <w:rPr>
          <w:b/>
          <w:bCs/>
          <w:lang w:val="en-CA"/>
        </w:rPr>
        <w:t>Table 1</w:t>
      </w:r>
      <w:r>
        <w:rPr>
          <w:lang w:val="en-CA"/>
        </w:rPr>
        <w:t xml:space="preserve"> Assumptions for peak spectral efficiency and peak data rate</w:t>
      </w:r>
    </w:p>
    <w:p w14:paraId="49C23748" w14:textId="77777777" w:rsidR="00B82664" w:rsidRDefault="00B82664" w:rsidP="00DD65B2">
      <w:pPr>
        <w:jc w:val="center"/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6"/>
        <w:gridCol w:w="4122"/>
        <w:gridCol w:w="4122"/>
      </w:tblGrid>
      <w:tr w:rsidR="00017802" w14:paraId="15424E6A" w14:textId="77777777" w:rsidTr="00C74274">
        <w:trPr>
          <w:trHeight w:val="144"/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14:paraId="71572B56" w14:textId="77777777" w:rsidR="00017802" w:rsidRDefault="00017802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Parameters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8266DB1" w14:textId="77777777" w:rsidR="00017802" w:rsidRDefault="00017802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Downlink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54AE50F" w14:textId="77777777" w:rsidR="00017802" w:rsidRDefault="00017802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Uplink</w:t>
            </w:r>
          </w:p>
        </w:tc>
      </w:tr>
      <w:tr w:rsidR="00017802" w14:paraId="72250067" w14:textId="77777777" w:rsidTr="00C74274">
        <w:trPr>
          <w:jc w:val="center"/>
        </w:trPr>
        <w:tc>
          <w:tcPr>
            <w:tcW w:w="0" w:type="auto"/>
          </w:tcPr>
          <w:p w14:paraId="2BC6E371" w14:textId="77777777" w:rsidR="00017802" w:rsidRPr="00292DB0" w:rsidRDefault="00811CEE" w:rsidP="00ED2738">
            <w:pPr>
              <w:keepNext/>
              <w:keepLines/>
              <w:spacing w:before="120" w:after="180"/>
              <w:outlineLvl w:val="2"/>
              <w:rPr>
                <w:lang w:val="en-CA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ν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Layers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(j)</m:t>
                    </m:r>
                  </m:sup>
                </m:sSubSup>
              </m:oMath>
            </m:oMathPara>
          </w:p>
        </w:tc>
        <w:tc>
          <w:tcPr>
            <w:tcW w:w="0" w:type="auto"/>
          </w:tcPr>
          <w:p w14:paraId="081042F7" w14:textId="77777777" w:rsidR="00017802" w:rsidRDefault="00017802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8</w:t>
            </w:r>
          </w:p>
        </w:tc>
        <w:tc>
          <w:tcPr>
            <w:tcW w:w="0" w:type="auto"/>
          </w:tcPr>
          <w:p w14:paraId="72E5BA32" w14:textId="77777777" w:rsidR="00017802" w:rsidRDefault="00017802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4</w:t>
            </w:r>
          </w:p>
        </w:tc>
      </w:tr>
      <w:tr w:rsidR="00017802" w14:paraId="35F85624" w14:textId="77777777" w:rsidTr="00C74274">
        <w:trPr>
          <w:jc w:val="center"/>
        </w:trPr>
        <w:tc>
          <w:tcPr>
            <w:tcW w:w="0" w:type="auto"/>
          </w:tcPr>
          <w:p w14:paraId="108D7385" w14:textId="77777777" w:rsidR="00017802" w:rsidRPr="00292DB0" w:rsidRDefault="00811CEE" w:rsidP="00ED2738">
            <w:pPr>
              <w:keepNext/>
              <w:keepLines/>
              <w:spacing w:before="120" w:after="180"/>
              <w:outlineLvl w:val="2"/>
              <w:rPr>
                <w:lang w:val="en-CA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(j)</m:t>
                    </m:r>
                  </m:sup>
                </m:sSubSup>
              </m:oMath>
            </m:oMathPara>
          </w:p>
        </w:tc>
        <w:tc>
          <w:tcPr>
            <w:tcW w:w="0" w:type="auto"/>
          </w:tcPr>
          <w:p w14:paraId="1D9571C9" w14:textId="77777777" w:rsidR="00017802" w:rsidRDefault="00017802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8</w:t>
            </w:r>
          </w:p>
        </w:tc>
        <w:tc>
          <w:tcPr>
            <w:tcW w:w="0" w:type="auto"/>
          </w:tcPr>
          <w:p w14:paraId="093AF5E7" w14:textId="77777777" w:rsidR="00017802" w:rsidRDefault="00017802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8</w:t>
            </w:r>
          </w:p>
        </w:tc>
      </w:tr>
      <w:tr w:rsidR="00017802" w14:paraId="5BC0469A" w14:textId="77777777" w:rsidTr="00C74274">
        <w:trPr>
          <w:jc w:val="center"/>
        </w:trPr>
        <w:tc>
          <w:tcPr>
            <w:tcW w:w="0" w:type="auto"/>
          </w:tcPr>
          <w:p w14:paraId="130D77E6" w14:textId="77777777" w:rsidR="00017802" w:rsidRPr="00292DB0" w:rsidRDefault="00811CEE" w:rsidP="00ED2738">
            <w:pPr>
              <w:keepNext/>
              <w:keepLines/>
              <w:spacing w:before="120" w:after="180"/>
              <w:outlineLvl w:val="2"/>
              <w:rPr>
                <w:lang w:val="en-CA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(j)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06BD7DB6" w14:textId="77777777" w:rsidR="00017802" w:rsidRDefault="00017802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1</w:t>
            </w:r>
          </w:p>
        </w:tc>
        <w:tc>
          <w:tcPr>
            <w:tcW w:w="0" w:type="auto"/>
          </w:tcPr>
          <w:p w14:paraId="2E8C69B6" w14:textId="77777777" w:rsidR="00017802" w:rsidRDefault="00017802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1</w:t>
            </w:r>
          </w:p>
        </w:tc>
      </w:tr>
      <w:tr w:rsidR="00017802" w14:paraId="07008FB6" w14:textId="77777777" w:rsidTr="00C74274">
        <w:trPr>
          <w:jc w:val="center"/>
        </w:trPr>
        <w:tc>
          <w:tcPr>
            <w:tcW w:w="0" w:type="auto"/>
          </w:tcPr>
          <w:p w14:paraId="7A6179D4" w14:textId="77777777" w:rsidR="00017802" w:rsidRPr="00292DB0" w:rsidRDefault="00811CEE" w:rsidP="00ED2738">
            <w:pPr>
              <w:keepNext/>
              <w:keepLines/>
              <w:spacing w:before="120" w:after="180"/>
              <w:outlineLvl w:val="2"/>
              <w:rPr>
                <w:iCs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C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lang w:val="en-CA"/>
                      </w:rPr>
                      <m:t>max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14:paraId="088BABD6" w14:textId="77777777" w:rsidR="00017802" w:rsidRDefault="00017802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948/1024</w:t>
            </w:r>
          </w:p>
        </w:tc>
        <w:tc>
          <w:tcPr>
            <w:tcW w:w="0" w:type="auto"/>
          </w:tcPr>
          <w:p w14:paraId="714BE0EB" w14:textId="77777777" w:rsidR="00017802" w:rsidRDefault="00017802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948/1024</w:t>
            </w:r>
          </w:p>
        </w:tc>
      </w:tr>
      <w:tr w:rsidR="009E62B9" w14:paraId="674C7D5F" w14:textId="77777777" w:rsidTr="00C74274">
        <w:trPr>
          <w:jc w:val="center"/>
        </w:trPr>
        <w:tc>
          <w:tcPr>
            <w:tcW w:w="0" w:type="auto"/>
          </w:tcPr>
          <w:p w14:paraId="3B95E1CE" w14:textId="77777777" w:rsidR="009E62B9" w:rsidRPr="00292DB0" w:rsidRDefault="009E62B9" w:rsidP="009E62B9">
            <w:pPr>
              <w:keepNext/>
              <w:keepLines/>
              <w:spacing w:before="120" w:after="180"/>
              <w:outlineLvl w:val="2"/>
              <w:rPr>
                <w:iCs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μ</m:t>
                </m:r>
              </m:oMath>
            </m:oMathPara>
          </w:p>
        </w:tc>
        <w:tc>
          <w:tcPr>
            <w:tcW w:w="0" w:type="auto"/>
          </w:tcPr>
          <w:p w14:paraId="4EEAD108" w14:textId="77777777" w:rsidR="009E62B9" w:rsidRDefault="009E62B9" w:rsidP="009E62B9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FR1: 0,1,2</w:t>
            </w:r>
          </w:p>
          <w:p w14:paraId="00046785" w14:textId="0DB56908" w:rsidR="009E62B9" w:rsidRDefault="00C17030" w:rsidP="009E62B9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FR2: 2,3</w:t>
            </w:r>
          </w:p>
        </w:tc>
        <w:tc>
          <w:tcPr>
            <w:tcW w:w="0" w:type="auto"/>
          </w:tcPr>
          <w:p w14:paraId="0D40316D" w14:textId="77777777" w:rsidR="009E62B9" w:rsidRDefault="009E62B9" w:rsidP="009E62B9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FR1: 0,1,2</w:t>
            </w:r>
          </w:p>
          <w:p w14:paraId="4403F7F6" w14:textId="466983A9" w:rsidR="009E62B9" w:rsidRDefault="00C17030" w:rsidP="009E62B9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FR2: 2,3</w:t>
            </w:r>
          </w:p>
        </w:tc>
      </w:tr>
      <w:tr w:rsidR="00017802" w14:paraId="4E970E54" w14:textId="77777777" w:rsidTr="00C74274">
        <w:trPr>
          <w:trHeight w:val="584"/>
          <w:jc w:val="center"/>
        </w:trPr>
        <w:tc>
          <w:tcPr>
            <w:tcW w:w="0" w:type="auto"/>
          </w:tcPr>
          <w:p w14:paraId="7C728784" w14:textId="77777777" w:rsidR="00017802" w:rsidRPr="00292DB0" w:rsidRDefault="00811CEE" w:rsidP="00ED2738">
            <w:pPr>
              <w:keepNext/>
              <w:keepLines/>
              <w:spacing w:before="120" w:after="180"/>
              <w:outlineLvl w:val="2"/>
              <w:rPr>
                <w:iCs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PRB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BW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, μ</m:t>
                    </m:r>
                  </m:sup>
                </m:sSubSup>
              </m:oMath>
            </m:oMathPara>
          </w:p>
        </w:tc>
        <w:tc>
          <w:tcPr>
            <w:tcW w:w="0" w:type="auto"/>
          </w:tcPr>
          <w:p w14:paraId="50C5C345" w14:textId="5DF33B88" w:rsidR="00017802" w:rsidRDefault="00017802" w:rsidP="00017802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We have used m</w:t>
            </w:r>
            <w:r w:rsidRPr="00017802">
              <w:rPr>
                <w:lang w:val="en-CA"/>
              </w:rPr>
              <w:t xml:space="preserve">aximum number of RBs for the specific component carrier bandwidth and SCS </w:t>
            </w:r>
          </w:p>
        </w:tc>
        <w:tc>
          <w:tcPr>
            <w:tcW w:w="0" w:type="auto"/>
          </w:tcPr>
          <w:p w14:paraId="4DE112B2" w14:textId="7DEF5AC2" w:rsidR="00017802" w:rsidRDefault="00017802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We have used m</w:t>
            </w:r>
            <w:r w:rsidRPr="00017802">
              <w:rPr>
                <w:lang w:val="en-CA"/>
              </w:rPr>
              <w:t>aximum number of RBs for the specific component carrier bandwidth and SCS</w:t>
            </w:r>
          </w:p>
        </w:tc>
      </w:tr>
    </w:tbl>
    <w:p w14:paraId="27A2DD97" w14:textId="77777777" w:rsidR="00E022E1" w:rsidRDefault="00E022E1" w:rsidP="00DD65B2">
      <w:pPr>
        <w:rPr>
          <w:lang w:val="en-US"/>
        </w:rPr>
      </w:pPr>
    </w:p>
    <w:p w14:paraId="549BBD21" w14:textId="77777777" w:rsidR="008B6A1A" w:rsidRDefault="008B6A1A" w:rsidP="00DD65B2">
      <w:pPr>
        <w:jc w:val="center"/>
        <w:rPr>
          <w:b/>
          <w:bCs/>
          <w:lang w:val="en-US"/>
        </w:rPr>
      </w:pPr>
    </w:p>
    <w:p w14:paraId="1135CD13" w14:textId="7DEB2422" w:rsidR="007936C6" w:rsidRDefault="00E022E1" w:rsidP="00DD65B2">
      <w:pPr>
        <w:jc w:val="center"/>
        <w:rPr>
          <w:lang w:val="en-US"/>
        </w:rPr>
      </w:pPr>
      <w:r>
        <w:rPr>
          <w:b/>
          <w:bCs/>
          <w:lang w:val="en-US"/>
        </w:rPr>
        <w:t>Table 2</w:t>
      </w:r>
      <w:r w:rsidRPr="00E022E1">
        <w:rPr>
          <w:lang w:val="en-US"/>
        </w:rPr>
        <w:t xml:space="preserve"> </w:t>
      </w:r>
      <w:r>
        <w:rPr>
          <w:lang w:val="en-US"/>
        </w:rPr>
        <w:t>NR</w:t>
      </w:r>
      <w:r w:rsidR="00AA61CF">
        <w:rPr>
          <w:lang w:val="en-US"/>
        </w:rPr>
        <w:t xml:space="preserve"> FDD frequency range of FR1 (410 MHz – 7125</w:t>
      </w:r>
      <w:r w:rsidRPr="00E022E1">
        <w:rPr>
          <w:lang w:val="en-US"/>
        </w:rPr>
        <w:t xml:space="preserve"> MHz) DL peak spectral efficiency (bit/s/Hz)</w:t>
      </w:r>
    </w:p>
    <w:p w14:paraId="40D63073" w14:textId="31B21268" w:rsidR="007936C6" w:rsidRDefault="007936C6" w:rsidP="00DD65B2">
      <w:pPr>
        <w:jc w:val="center"/>
        <w:rPr>
          <w:lang w:eastAsia="zh-CN"/>
        </w:rPr>
      </w:pPr>
      <w:r>
        <w:rPr>
          <w:lang w:eastAsia="zh-CN"/>
        </w:rPr>
        <w:t xml:space="preserve">8-layer downlink transmission, with 256QAM modulation, and a maximum coding rate of </w:t>
      </w:r>
      <w:r w:rsidR="00B82664">
        <w:rPr>
          <w:lang w:eastAsia="zh-CN"/>
        </w:rPr>
        <w:t>Rmax=</w:t>
      </w:r>
      <w:r>
        <w:rPr>
          <w:lang w:eastAsia="zh-CN"/>
        </w:rPr>
        <w:t>0.9258</w:t>
      </w:r>
    </w:p>
    <w:p w14:paraId="3F72E0B4" w14:textId="77777777" w:rsidR="00B82664" w:rsidRDefault="00B82664" w:rsidP="00DD65B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AA61CF" w14:paraId="46660F54" w14:textId="41B90DEC" w:rsidTr="00DD65B2">
        <w:trPr>
          <w:trHeight w:val="460"/>
        </w:trPr>
        <w:tc>
          <w:tcPr>
            <w:tcW w:w="948" w:type="dxa"/>
            <w:vAlign w:val="center"/>
          </w:tcPr>
          <w:p w14:paraId="660FC2DD" w14:textId="6DC76BC9" w:rsidR="00AA61CF" w:rsidRDefault="00AA61CF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0B1A10F4" w14:textId="77777777" w:rsidR="00AA61CF" w:rsidRPr="00AA61CF" w:rsidRDefault="00AA61CF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</w:p>
          <w:p w14:paraId="05B38D54" w14:textId="0209085B" w:rsidR="00AA61CF" w:rsidRPr="00AA61CF" w:rsidRDefault="00AA61CF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2F9248E0" w14:textId="77777777" w:rsidR="00AA61CF" w:rsidRPr="00AA61CF" w:rsidRDefault="00AA61CF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</w:p>
          <w:p w14:paraId="5441785A" w14:textId="1A028D99" w:rsidR="00AA61CF" w:rsidRPr="00AA61CF" w:rsidRDefault="00AA61CF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6EFEF75A" w14:textId="77777777" w:rsidR="00AA61CF" w:rsidRPr="00AA61CF" w:rsidRDefault="00AA61CF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15</w:t>
            </w:r>
          </w:p>
          <w:p w14:paraId="6EB2EE4F" w14:textId="4664308E" w:rsidR="00AA61CF" w:rsidRPr="00AA61CF" w:rsidRDefault="00AA61CF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6F11A7AA" w14:textId="194CB75E" w:rsidR="00AA61CF" w:rsidRPr="00AA61CF" w:rsidRDefault="00AA61CF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</w:t>
            </w:r>
          </w:p>
          <w:p w14:paraId="616D2FD4" w14:textId="135A1B5F" w:rsidR="00AA61CF" w:rsidRPr="00AA61CF" w:rsidRDefault="00AA61CF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533D1DE3" w14:textId="69538483" w:rsidR="00AA61CF" w:rsidRPr="00AA61CF" w:rsidRDefault="00AA61CF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25</w:t>
            </w:r>
          </w:p>
          <w:p w14:paraId="34D0BDD8" w14:textId="6AB07457" w:rsidR="00AA61CF" w:rsidRPr="00AA61CF" w:rsidRDefault="00AA61CF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76FB91E" w14:textId="77777777" w:rsidR="00AA61CF" w:rsidRPr="00AA61CF" w:rsidRDefault="00AA61CF" w:rsidP="00DD65B2">
            <w:pPr>
              <w:jc w:val="center"/>
              <w:rPr>
                <w:rFonts w:eastAsia="Yu Mincho"/>
                <w:sz w:val="16"/>
              </w:rPr>
            </w:pPr>
            <w:r w:rsidRPr="00AA61CF">
              <w:rPr>
                <w:rFonts w:eastAsia="Yu Mincho"/>
                <w:sz w:val="16"/>
              </w:rPr>
              <w:t>30</w:t>
            </w:r>
          </w:p>
          <w:p w14:paraId="470FDB8A" w14:textId="641D5983" w:rsidR="00AA61CF" w:rsidRPr="00AA61CF" w:rsidRDefault="00AA61CF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214F041C" w14:textId="4365E59C" w:rsidR="00AA61CF" w:rsidRPr="00AA61CF" w:rsidRDefault="00AA61CF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</w:t>
            </w:r>
          </w:p>
          <w:p w14:paraId="5CFCB7F0" w14:textId="6F5D5A18" w:rsidR="00AA61CF" w:rsidRPr="00AA61CF" w:rsidRDefault="00AA61CF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67CFF98D" w14:textId="3EAA2C2B" w:rsidR="00AA61CF" w:rsidRPr="00AA61CF" w:rsidRDefault="00AA61CF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50</w:t>
            </w:r>
          </w:p>
          <w:p w14:paraId="1E70ECC1" w14:textId="30A58D23" w:rsidR="00AA61CF" w:rsidRPr="00AA61CF" w:rsidRDefault="00AA61CF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3A1DD704" w14:textId="4E7131A7" w:rsidR="00AA61CF" w:rsidRPr="00AA61CF" w:rsidRDefault="00AA61CF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60</w:t>
            </w:r>
          </w:p>
          <w:p w14:paraId="537C3900" w14:textId="25CE7A97" w:rsidR="00AA61CF" w:rsidRPr="00AA61CF" w:rsidRDefault="00AA61CF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5AADDB84" w14:textId="7A21DFDA" w:rsidR="00AA61CF" w:rsidRPr="00AA61CF" w:rsidRDefault="00AA61CF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80</w:t>
            </w:r>
          </w:p>
          <w:p w14:paraId="1F0D6285" w14:textId="5ACB35E3" w:rsidR="00AA61CF" w:rsidRPr="00AA61CF" w:rsidRDefault="00AA61CF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75DBAF0E" w14:textId="77777777" w:rsidR="00AA61CF" w:rsidRPr="00AA61CF" w:rsidRDefault="00AA61CF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90</w:t>
            </w:r>
          </w:p>
          <w:p w14:paraId="0A943EFE" w14:textId="07D7ADF1" w:rsidR="00AA61CF" w:rsidRPr="00AA61CF" w:rsidRDefault="00AA61CF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4B8CDBD3" w14:textId="3DACF48C" w:rsidR="00AA61CF" w:rsidRPr="00AA61CF" w:rsidRDefault="00AA61CF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100</w:t>
            </w:r>
          </w:p>
          <w:p w14:paraId="7357E0B0" w14:textId="75DA155A" w:rsidR="00AA61CF" w:rsidRPr="00AA61CF" w:rsidRDefault="00AA61CF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7936C6" w14:paraId="0CA2D2F0" w14:textId="0D53A47F" w:rsidTr="00DD65B2">
        <w:trPr>
          <w:trHeight w:val="460"/>
        </w:trPr>
        <w:tc>
          <w:tcPr>
            <w:tcW w:w="948" w:type="dxa"/>
            <w:vAlign w:val="center"/>
          </w:tcPr>
          <w:p w14:paraId="0BAB3A89" w14:textId="68607AFC" w:rsidR="007936C6" w:rsidRPr="00AA61CF" w:rsidRDefault="007936C6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15</w:t>
            </w:r>
          </w:p>
        </w:tc>
        <w:tc>
          <w:tcPr>
            <w:tcW w:w="701" w:type="dxa"/>
            <w:vAlign w:val="center"/>
          </w:tcPr>
          <w:p w14:paraId="42F141C8" w14:textId="7B627613" w:rsidR="007936C6" w:rsidRDefault="007936C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42.80</w:t>
            </w:r>
          </w:p>
        </w:tc>
        <w:tc>
          <w:tcPr>
            <w:tcW w:w="701" w:type="dxa"/>
            <w:vAlign w:val="center"/>
          </w:tcPr>
          <w:p w14:paraId="3C756F59" w14:textId="0F660003" w:rsidR="007936C6" w:rsidRDefault="007936C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44.51</w:t>
            </w:r>
          </w:p>
        </w:tc>
        <w:tc>
          <w:tcPr>
            <w:tcW w:w="700" w:type="dxa"/>
            <w:vAlign w:val="center"/>
          </w:tcPr>
          <w:p w14:paraId="003D6D12" w14:textId="5C564BC5" w:rsidR="007936C6" w:rsidRDefault="007936C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45.08</w:t>
            </w:r>
          </w:p>
        </w:tc>
        <w:tc>
          <w:tcPr>
            <w:tcW w:w="700" w:type="dxa"/>
            <w:vAlign w:val="center"/>
          </w:tcPr>
          <w:p w14:paraId="4F8E06CF" w14:textId="1272498D" w:rsidR="007936C6" w:rsidRDefault="007936C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45.37</w:t>
            </w:r>
          </w:p>
        </w:tc>
        <w:tc>
          <w:tcPr>
            <w:tcW w:w="700" w:type="dxa"/>
            <w:vAlign w:val="center"/>
          </w:tcPr>
          <w:p w14:paraId="16A800AE" w14:textId="3B415A3D" w:rsidR="007936C6" w:rsidRDefault="007936C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45.54</w:t>
            </w:r>
          </w:p>
        </w:tc>
        <w:tc>
          <w:tcPr>
            <w:tcW w:w="700" w:type="dxa"/>
            <w:vAlign w:val="center"/>
          </w:tcPr>
          <w:p w14:paraId="462ECE08" w14:textId="0CD5BCBB" w:rsidR="007936C6" w:rsidRDefault="007936C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45.65</w:t>
            </w:r>
          </w:p>
        </w:tc>
        <w:tc>
          <w:tcPr>
            <w:tcW w:w="700" w:type="dxa"/>
            <w:vAlign w:val="center"/>
          </w:tcPr>
          <w:p w14:paraId="5D7E0A5D" w14:textId="19FA075E" w:rsidR="007936C6" w:rsidRDefault="00BB1F2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46.23</w:t>
            </w:r>
          </w:p>
        </w:tc>
        <w:tc>
          <w:tcPr>
            <w:tcW w:w="700" w:type="dxa"/>
            <w:vAlign w:val="center"/>
          </w:tcPr>
          <w:p w14:paraId="023FA4D2" w14:textId="20CE5D4A" w:rsidR="007936C6" w:rsidRDefault="00BB1F2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46.23</w:t>
            </w:r>
          </w:p>
        </w:tc>
        <w:tc>
          <w:tcPr>
            <w:tcW w:w="700" w:type="dxa"/>
            <w:vAlign w:val="center"/>
          </w:tcPr>
          <w:p w14:paraId="226EEB7A" w14:textId="3C6B0C9B" w:rsidR="007936C6" w:rsidRDefault="007936C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  <w:vAlign w:val="center"/>
          </w:tcPr>
          <w:p w14:paraId="31D5893E" w14:textId="530DF84F" w:rsidR="007936C6" w:rsidRDefault="007936C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  <w:vAlign w:val="center"/>
          </w:tcPr>
          <w:p w14:paraId="0697A95C" w14:textId="3FE380A8" w:rsidR="007936C6" w:rsidRDefault="007936C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  <w:vAlign w:val="center"/>
          </w:tcPr>
          <w:p w14:paraId="5CDA469F" w14:textId="5F39C14E" w:rsidR="007936C6" w:rsidRDefault="007936C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7936C6" w14:paraId="5693EBA0" w14:textId="3CD41B3A" w:rsidTr="00DD65B2">
        <w:trPr>
          <w:trHeight w:val="460"/>
        </w:trPr>
        <w:tc>
          <w:tcPr>
            <w:tcW w:w="948" w:type="dxa"/>
            <w:vAlign w:val="center"/>
          </w:tcPr>
          <w:p w14:paraId="069750EA" w14:textId="38CB9F05" w:rsidR="007936C6" w:rsidRPr="00AA61CF" w:rsidRDefault="007936C6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30</w:t>
            </w:r>
          </w:p>
        </w:tc>
        <w:tc>
          <w:tcPr>
            <w:tcW w:w="701" w:type="dxa"/>
            <w:vAlign w:val="center"/>
          </w:tcPr>
          <w:p w14:paraId="7607C68B" w14:textId="192F5AA1" w:rsidR="007936C6" w:rsidRDefault="00BB1F2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37.66</w:t>
            </w:r>
          </w:p>
        </w:tc>
        <w:tc>
          <w:tcPr>
            <w:tcW w:w="701" w:type="dxa"/>
            <w:vAlign w:val="center"/>
          </w:tcPr>
          <w:p w14:paraId="2358C2C7" w14:textId="50D888FC" w:rsidR="007936C6" w:rsidRDefault="00BB1F2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41.09</w:t>
            </w:r>
          </w:p>
        </w:tc>
        <w:tc>
          <w:tcPr>
            <w:tcW w:w="700" w:type="dxa"/>
            <w:vAlign w:val="center"/>
          </w:tcPr>
          <w:p w14:paraId="1F34FE92" w14:textId="646289B0" w:rsidR="007936C6" w:rsidRDefault="00BB1F2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43.37</w:t>
            </w:r>
          </w:p>
        </w:tc>
        <w:tc>
          <w:tcPr>
            <w:tcW w:w="700" w:type="dxa"/>
            <w:vAlign w:val="center"/>
          </w:tcPr>
          <w:p w14:paraId="4F16FC4F" w14:textId="444F2F8E" w:rsidR="007936C6" w:rsidRDefault="00BB1F2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43.66</w:t>
            </w:r>
          </w:p>
        </w:tc>
        <w:tc>
          <w:tcPr>
            <w:tcW w:w="700" w:type="dxa"/>
            <w:vAlign w:val="center"/>
          </w:tcPr>
          <w:p w14:paraId="3FDA314D" w14:textId="5D520A62" w:rsidR="007936C6" w:rsidRDefault="00BB1F2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44.51</w:t>
            </w:r>
          </w:p>
        </w:tc>
        <w:tc>
          <w:tcPr>
            <w:tcW w:w="700" w:type="dxa"/>
            <w:vAlign w:val="center"/>
          </w:tcPr>
          <w:p w14:paraId="30A21F34" w14:textId="6C7F72C8" w:rsidR="007936C6" w:rsidRDefault="00BB1F2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44.51</w:t>
            </w:r>
          </w:p>
        </w:tc>
        <w:tc>
          <w:tcPr>
            <w:tcW w:w="700" w:type="dxa"/>
            <w:vAlign w:val="center"/>
          </w:tcPr>
          <w:p w14:paraId="5A721AC2" w14:textId="7125A31F" w:rsidR="007936C6" w:rsidRDefault="00BB1F2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45.37</w:t>
            </w:r>
          </w:p>
        </w:tc>
        <w:tc>
          <w:tcPr>
            <w:tcW w:w="700" w:type="dxa"/>
            <w:vAlign w:val="center"/>
          </w:tcPr>
          <w:p w14:paraId="25728A91" w14:textId="4211DBD6" w:rsidR="007936C6" w:rsidRDefault="00BB1F2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45.54</w:t>
            </w:r>
          </w:p>
        </w:tc>
        <w:tc>
          <w:tcPr>
            <w:tcW w:w="700" w:type="dxa"/>
            <w:vAlign w:val="center"/>
          </w:tcPr>
          <w:p w14:paraId="50F92DA2" w14:textId="194F8DB0" w:rsidR="007936C6" w:rsidRDefault="00BB1F2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46.23</w:t>
            </w:r>
          </w:p>
        </w:tc>
        <w:tc>
          <w:tcPr>
            <w:tcW w:w="700" w:type="dxa"/>
            <w:vAlign w:val="center"/>
          </w:tcPr>
          <w:p w14:paraId="37F835B8" w14:textId="1314D4E0" w:rsidR="007936C6" w:rsidRDefault="00BB1F2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46.44</w:t>
            </w:r>
          </w:p>
        </w:tc>
        <w:tc>
          <w:tcPr>
            <w:tcW w:w="700" w:type="dxa"/>
            <w:vAlign w:val="center"/>
          </w:tcPr>
          <w:p w14:paraId="1C8817D1" w14:textId="6161B07C" w:rsidR="007936C6" w:rsidRDefault="00BB1F2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46.61</w:t>
            </w:r>
          </w:p>
        </w:tc>
        <w:tc>
          <w:tcPr>
            <w:tcW w:w="700" w:type="dxa"/>
            <w:vAlign w:val="center"/>
          </w:tcPr>
          <w:p w14:paraId="30255544" w14:textId="6E755751" w:rsidR="007936C6" w:rsidRDefault="00BB1F2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46.74</w:t>
            </w:r>
          </w:p>
        </w:tc>
      </w:tr>
      <w:tr w:rsidR="007936C6" w14:paraId="6D9C4838" w14:textId="2344D956" w:rsidTr="00DD65B2">
        <w:trPr>
          <w:trHeight w:val="460"/>
        </w:trPr>
        <w:tc>
          <w:tcPr>
            <w:tcW w:w="948" w:type="dxa"/>
            <w:vAlign w:val="center"/>
          </w:tcPr>
          <w:p w14:paraId="73DD1002" w14:textId="7DFEAE01" w:rsidR="007936C6" w:rsidRPr="00AA61CF" w:rsidRDefault="007936C6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  <w:vAlign w:val="center"/>
          </w:tcPr>
          <w:p w14:paraId="02BC24CD" w14:textId="799D5659" w:rsidR="007936C6" w:rsidRDefault="00BB1F2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1" w:type="dxa"/>
            <w:vAlign w:val="center"/>
          </w:tcPr>
          <w:p w14:paraId="06DC7A8F" w14:textId="1569BCC7" w:rsidR="007936C6" w:rsidRDefault="00BB1F2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37.66</w:t>
            </w:r>
          </w:p>
        </w:tc>
        <w:tc>
          <w:tcPr>
            <w:tcW w:w="700" w:type="dxa"/>
            <w:vAlign w:val="center"/>
          </w:tcPr>
          <w:p w14:paraId="53566843" w14:textId="76D07FD1" w:rsidR="007936C6" w:rsidRDefault="00BB1F2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41.09</w:t>
            </w:r>
          </w:p>
        </w:tc>
        <w:tc>
          <w:tcPr>
            <w:tcW w:w="700" w:type="dxa"/>
            <w:vAlign w:val="center"/>
          </w:tcPr>
          <w:p w14:paraId="34EAB889" w14:textId="62CEBE2E" w:rsidR="007936C6" w:rsidRDefault="00BB1F2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41.09</w:t>
            </w:r>
          </w:p>
        </w:tc>
        <w:tc>
          <w:tcPr>
            <w:tcW w:w="700" w:type="dxa"/>
            <w:vAlign w:val="center"/>
          </w:tcPr>
          <w:p w14:paraId="2BB62109" w14:textId="44EB3108" w:rsidR="007936C6" w:rsidRDefault="00BB1F2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42.46</w:t>
            </w:r>
          </w:p>
        </w:tc>
        <w:tc>
          <w:tcPr>
            <w:tcW w:w="700" w:type="dxa"/>
            <w:vAlign w:val="center"/>
          </w:tcPr>
          <w:p w14:paraId="051E11C4" w14:textId="74BF618C" w:rsidR="007936C6" w:rsidRDefault="00BB1F2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43.37</w:t>
            </w:r>
          </w:p>
        </w:tc>
        <w:tc>
          <w:tcPr>
            <w:tcW w:w="700" w:type="dxa"/>
            <w:vAlign w:val="center"/>
          </w:tcPr>
          <w:p w14:paraId="5CFB2EDE" w14:textId="4FCF8F1D" w:rsidR="007936C6" w:rsidRDefault="00BB1F2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43.66</w:t>
            </w:r>
          </w:p>
        </w:tc>
        <w:tc>
          <w:tcPr>
            <w:tcW w:w="700" w:type="dxa"/>
            <w:vAlign w:val="center"/>
          </w:tcPr>
          <w:p w14:paraId="04A12154" w14:textId="065F05A2" w:rsidR="007936C6" w:rsidRDefault="00BB1F2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44.51</w:t>
            </w:r>
          </w:p>
        </w:tc>
        <w:tc>
          <w:tcPr>
            <w:tcW w:w="700" w:type="dxa"/>
            <w:vAlign w:val="center"/>
          </w:tcPr>
          <w:p w14:paraId="18861E5D" w14:textId="789A5EA8" w:rsidR="007936C6" w:rsidRDefault="00BB1F2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45.08</w:t>
            </w:r>
          </w:p>
        </w:tc>
        <w:tc>
          <w:tcPr>
            <w:tcW w:w="700" w:type="dxa"/>
            <w:vAlign w:val="center"/>
          </w:tcPr>
          <w:p w14:paraId="32F27A7E" w14:textId="1602C617" w:rsidR="007936C6" w:rsidRDefault="00BB1F2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45.80</w:t>
            </w:r>
          </w:p>
        </w:tc>
        <w:tc>
          <w:tcPr>
            <w:tcW w:w="700" w:type="dxa"/>
            <w:vAlign w:val="center"/>
          </w:tcPr>
          <w:p w14:paraId="0F1CD086" w14:textId="17F42ABD" w:rsidR="007936C6" w:rsidRDefault="00555EDE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46.04</w:t>
            </w:r>
          </w:p>
        </w:tc>
        <w:tc>
          <w:tcPr>
            <w:tcW w:w="700" w:type="dxa"/>
            <w:vAlign w:val="center"/>
          </w:tcPr>
          <w:p w14:paraId="23528499" w14:textId="72DEDB15" w:rsidR="007936C6" w:rsidRDefault="00555EDE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46.23</w:t>
            </w:r>
          </w:p>
        </w:tc>
      </w:tr>
    </w:tbl>
    <w:p w14:paraId="3B37E81C" w14:textId="77777777" w:rsidR="00C74274" w:rsidRDefault="00C74274" w:rsidP="00DD65B2">
      <w:pPr>
        <w:rPr>
          <w:lang w:val="en-US"/>
        </w:rPr>
      </w:pPr>
    </w:p>
    <w:p w14:paraId="74B88678" w14:textId="6AD044A6" w:rsidR="00530B4F" w:rsidRDefault="00530B4F" w:rsidP="00DD65B2">
      <w:pPr>
        <w:rPr>
          <w:lang w:val="en-US"/>
        </w:rPr>
      </w:pPr>
      <w:r>
        <w:rPr>
          <w:lang w:val="en-US"/>
        </w:rPr>
        <w:t>For NR FDD frequency range of FR1 (410 MHz – 7125</w:t>
      </w:r>
      <w:r w:rsidRPr="00017802">
        <w:rPr>
          <w:lang w:val="en-US"/>
        </w:rPr>
        <w:t xml:space="preserve"> MHz</w:t>
      </w:r>
      <w:r>
        <w:rPr>
          <w:lang w:val="en-US"/>
        </w:rPr>
        <w:t>) UL peak spectral efficiency is calculated and presented in Table 3</w:t>
      </w:r>
      <w:r w:rsidRPr="00017802">
        <w:rPr>
          <w:lang w:val="en-US"/>
        </w:rPr>
        <w:t xml:space="preserve">. The detailed assumptions </w:t>
      </w:r>
      <w:r>
        <w:rPr>
          <w:lang w:val="en-US"/>
        </w:rPr>
        <w:t>are presented in Table 1.</w:t>
      </w:r>
    </w:p>
    <w:p w14:paraId="52E68346" w14:textId="77777777" w:rsidR="00C74274" w:rsidRDefault="00C74274" w:rsidP="00DD65B2">
      <w:pPr>
        <w:rPr>
          <w:lang w:val="en-US"/>
        </w:rPr>
      </w:pPr>
    </w:p>
    <w:p w14:paraId="75B385AF" w14:textId="77777777" w:rsidR="008B6A1A" w:rsidRDefault="008B6A1A" w:rsidP="00DD65B2">
      <w:pPr>
        <w:jc w:val="center"/>
        <w:rPr>
          <w:b/>
          <w:bCs/>
          <w:lang w:val="en-US"/>
        </w:rPr>
      </w:pPr>
    </w:p>
    <w:p w14:paraId="188D42D4" w14:textId="0BD217FA" w:rsidR="007D44AA" w:rsidRDefault="00ED2738" w:rsidP="00DD65B2">
      <w:pPr>
        <w:jc w:val="center"/>
        <w:rPr>
          <w:lang w:val="en-US"/>
        </w:rPr>
      </w:pPr>
      <w:r>
        <w:rPr>
          <w:b/>
          <w:bCs/>
          <w:lang w:val="en-US"/>
        </w:rPr>
        <w:t>Table 3</w:t>
      </w:r>
      <w:r w:rsidR="007D44AA" w:rsidRPr="00E022E1">
        <w:rPr>
          <w:lang w:val="en-US"/>
        </w:rPr>
        <w:t xml:space="preserve"> </w:t>
      </w:r>
      <w:r w:rsidR="007D44AA">
        <w:rPr>
          <w:lang w:val="en-US"/>
        </w:rPr>
        <w:t>NR FDD frequency range of FR1 (410 MHz – 7125</w:t>
      </w:r>
      <w:r w:rsidR="007D44AA" w:rsidRPr="00E022E1">
        <w:rPr>
          <w:lang w:val="en-US"/>
        </w:rPr>
        <w:t xml:space="preserve"> MHz) </w:t>
      </w:r>
      <w:r w:rsidR="007D44AA">
        <w:rPr>
          <w:lang w:val="en-US"/>
        </w:rPr>
        <w:t>UL</w:t>
      </w:r>
      <w:r w:rsidR="007D44AA" w:rsidRPr="00E022E1">
        <w:rPr>
          <w:lang w:val="en-US"/>
        </w:rPr>
        <w:t xml:space="preserve"> peak spectral efficiency (bit/s/Hz)</w:t>
      </w:r>
    </w:p>
    <w:p w14:paraId="7E4972F0" w14:textId="1527504B" w:rsidR="007D44AA" w:rsidRDefault="007D44AA" w:rsidP="00DD65B2">
      <w:pPr>
        <w:jc w:val="center"/>
        <w:rPr>
          <w:lang w:eastAsia="zh-CN"/>
        </w:rPr>
      </w:pPr>
      <w:r>
        <w:rPr>
          <w:lang w:eastAsia="zh-CN"/>
        </w:rPr>
        <w:t xml:space="preserve">4-layer </w:t>
      </w:r>
      <w:r w:rsidR="00BB5BDE">
        <w:rPr>
          <w:lang w:eastAsia="zh-CN"/>
        </w:rPr>
        <w:t>uplink</w:t>
      </w:r>
      <w:r>
        <w:rPr>
          <w:lang w:eastAsia="zh-CN"/>
        </w:rPr>
        <w:t xml:space="preserve"> transmission, with 256QAM modulation, and a maximum coding rate of </w:t>
      </w:r>
      <w:r w:rsidR="00B82664">
        <w:rPr>
          <w:lang w:eastAsia="zh-CN"/>
        </w:rPr>
        <w:t>Rmax=</w:t>
      </w:r>
      <w:r>
        <w:rPr>
          <w:lang w:eastAsia="zh-CN"/>
        </w:rPr>
        <w:t>0.9258</w:t>
      </w:r>
    </w:p>
    <w:p w14:paraId="1DCB76DD" w14:textId="77777777" w:rsidR="00B82664" w:rsidRDefault="00B82664" w:rsidP="00DD65B2">
      <w:pPr>
        <w:jc w:val="center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530B4F" w14:paraId="7A6100C9" w14:textId="77777777" w:rsidTr="00DD65B2">
        <w:trPr>
          <w:trHeight w:val="460"/>
        </w:trPr>
        <w:tc>
          <w:tcPr>
            <w:tcW w:w="948" w:type="dxa"/>
            <w:vAlign w:val="center"/>
          </w:tcPr>
          <w:p w14:paraId="37011AFB" w14:textId="77777777" w:rsidR="00530B4F" w:rsidRDefault="00530B4F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4074D88A" w14:textId="77777777" w:rsidR="00530B4F" w:rsidRPr="00AA61CF" w:rsidRDefault="00530B4F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</w:p>
          <w:p w14:paraId="5DA3F94D" w14:textId="77777777" w:rsidR="00530B4F" w:rsidRPr="00AA61CF" w:rsidRDefault="00530B4F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769FF0A3" w14:textId="77777777" w:rsidR="00530B4F" w:rsidRPr="00AA61CF" w:rsidRDefault="00530B4F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</w:p>
          <w:p w14:paraId="70DF8C1B" w14:textId="77777777" w:rsidR="00530B4F" w:rsidRPr="00AA61CF" w:rsidRDefault="00530B4F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4B0EE16B" w14:textId="77777777" w:rsidR="00530B4F" w:rsidRPr="00AA61CF" w:rsidRDefault="00530B4F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15</w:t>
            </w:r>
          </w:p>
          <w:p w14:paraId="14EA9838" w14:textId="77777777" w:rsidR="00530B4F" w:rsidRPr="00AA61CF" w:rsidRDefault="00530B4F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6DE67BA" w14:textId="77777777" w:rsidR="00530B4F" w:rsidRPr="00AA61CF" w:rsidRDefault="00530B4F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</w:t>
            </w:r>
          </w:p>
          <w:p w14:paraId="1D3DF3B5" w14:textId="77777777" w:rsidR="00530B4F" w:rsidRPr="00AA61CF" w:rsidRDefault="00530B4F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6CBB35E0" w14:textId="77777777" w:rsidR="00530B4F" w:rsidRPr="00AA61CF" w:rsidRDefault="00530B4F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25</w:t>
            </w:r>
          </w:p>
          <w:p w14:paraId="650ECB62" w14:textId="77777777" w:rsidR="00530B4F" w:rsidRPr="00AA61CF" w:rsidRDefault="00530B4F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39D55EF" w14:textId="77777777" w:rsidR="00530B4F" w:rsidRPr="00AA61CF" w:rsidRDefault="00530B4F" w:rsidP="00DD65B2">
            <w:pPr>
              <w:jc w:val="center"/>
              <w:rPr>
                <w:rFonts w:eastAsia="Yu Mincho"/>
                <w:sz w:val="16"/>
              </w:rPr>
            </w:pPr>
            <w:r w:rsidRPr="00AA61CF">
              <w:rPr>
                <w:rFonts w:eastAsia="Yu Mincho"/>
                <w:sz w:val="16"/>
              </w:rPr>
              <w:t>30</w:t>
            </w:r>
          </w:p>
          <w:p w14:paraId="45F65172" w14:textId="77777777" w:rsidR="00530B4F" w:rsidRPr="00AA61CF" w:rsidRDefault="00530B4F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159F4EEB" w14:textId="77777777" w:rsidR="00530B4F" w:rsidRPr="00AA61CF" w:rsidRDefault="00530B4F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</w:t>
            </w:r>
          </w:p>
          <w:p w14:paraId="1BA3524F" w14:textId="77777777" w:rsidR="00530B4F" w:rsidRPr="00AA61CF" w:rsidRDefault="00530B4F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6399585E" w14:textId="77777777" w:rsidR="00530B4F" w:rsidRPr="00AA61CF" w:rsidRDefault="00530B4F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50</w:t>
            </w:r>
          </w:p>
          <w:p w14:paraId="0CE00CC8" w14:textId="77777777" w:rsidR="00530B4F" w:rsidRPr="00AA61CF" w:rsidRDefault="00530B4F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A570716" w14:textId="77777777" w:rsidR="00530B4F" w:rsidRPr="00AA61CF" w:rsidRDefault="00530B4F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60</w:t>
            </w:r>
          </w:p>
          <w:p w14:paraId="47B793D5" w14:textId="77777777" w:rsidR="00530B4F" w:rsidRPr="00AA61CF" w:rsidRDefault="00530B4F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68AF3F19" w14:textId="77777777" w:rsidR="00530B4F" w:rsidRPr="00AA61CF" w:rsidRDefault="00530B4F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80</w:t>
            </w:r>
          </w:p>
          <w:p w14:paraId="2614916D" w14:textId="77777777" w:rsidR="00530B4F" w:rsidRPr="00AA61CF" w:rsidRDefault="00530B4F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7E1BD949" w14:textId="77777777" w:rsidR="00530B4F" w:rsidRPr="00AA61CF" w:rsidRDefault="00530B4F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90</w:t>
            </w:r>
          </w:p>
          <w:p w14:paraId="0D6BCBCB" w14:textId="77777777" w:rsidR="00530B4F" w:rsidRPr="00AA61CF" w:rsidRDefault="00530B4F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7B75F166" w14:textId="77777777" w:rsidR="00530B4F" w:rsidRPr="00AA61CF" w:rsidRDefault="00530B4F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100</w:t>
            </w:r>
          </w:p>
          <w:p w14:paraId="76BAE145" w14:textId="77777777" w:rsidR="00530B4F" w:rsidRPr="00AA61CF" w:rsidRDefault="00530B4F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530B4F" w14:paraId="7F2E5AE7" w14:textId="77777777" w:rsidTr="00DD65B2">
        <w:trPr>
          <w:trHeight w:val="460"/>
        </w:trPr>
        <w:tc>
          <w:tcPr>
            <w:tcW w:w="948" w:type="dxa"/>
            <w:vAlign w:val="center"/>
          </w:tcPr>
          <w:p w14:paraId="76680E6F" w14:textId="77777777" w:rsidR="00530B4F" w:rsidRPr="00AA61CF" w:rsidRDefault="00530B4F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15</w:t>
            </w:r>
          </w:p>
        </w:tc>
        <w:tc>
          <w:tcPr>
            <w:tcW w:w="701" w:type="dxa"/>
            <w:vAlign w:val="center"/>
          </w:tcPr>
          <w:p w14:paraId="10FEBC6D" w14:textId="3501C47C" w:rsidR="00530B4F" w:rsidRDefault="007D44A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22.89</w:t>
            </w:r>
          </w:p>
        </w:tc>
        <w:tc>
          <w:tcPr>
            <w:tcW w:w="701" w:type="dxa"/>
            <w:vAlign w:val="center"/>
          </w:tcPr>
          <w:p w14:paraId="178F5E11" w14:textId="265F51C0" w:rsidR="00530B4F" w:rsidRDefault="007D44A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23.81</w:t>
            </w:r>
          </w:p>
        </w:tc>
        <w:tc>
          <w:tcPr>
            <w:tcW w:w="700" w:type="dxa"/>
            <w:vAlign w:val="center"/>
          </w:tcPr>
          <w:p w14:paraId="72187C0D" w14:textId="787C116E" w:rsidR="00530B4F" w:rsidRDefault="007D44A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24.11</w:t>
            </w:r>
          </w:p>
        </w:tc>
        <w:tc>
          <w:tcPr>
            <w:tcW w:w="700" w:type="dxa"/>
            <w:vAlign w:val="center"/>
          </w:tcPr>
          <w:p w14:paraId="305C02AC" w14:textId="1B9AE24F" w:rsidR="00530B4F" w:rsidRDefault="007D44A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24.27</w:t>
            </w:r>
          </w:p>
        </w:tc>
        <w:tc>
          <w:tcPr>
            <w:tcW w:w="700" w:type="dxa"/>
            <w:vAlign w:val="center"/>
          </w:tcPr>
          <w:p w14:paraId="54DF5561" w14:textId="553C63D5" w:rsidR="00530B4F" w:rsidRDefault="0082201F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24.36</w:t>
            </w:r>
          </w:p>
        </w:tc>
        <w:tc>
          <w:tcPr>
            <w:tcW w:w="700" w:type="dxa"/>
            <w:vAlign w:val="center"/>
          </w:tcPr>
          <w:p w14:paraId="16DB3C5D" w14:textId="4BE6D631" w:rsidR="00530B4F" w:rsidRDefault="0082201F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24.42</w:t>
            </w:r>
          </w:p>
        </w:tc>
        <w:tc>
          <w:tcPr>
            <w:tcW w:w="700" w:type="dxa"/>
            <w:vAlign w:val="center"/>
          </w:tcPr>
          <w:p w14:paraId="73A77241" w14:textId="0897D791" w:rsidR="00530B4F" w:rsidRDefault="0082201F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24.72</w:t>
            </w:r>
          </w:p>
        </w:tc>
        <w:tc>
          <w:tcPr>
            <w:tcW w:w="700" w:type="dxa"/>
            <w:vAlign w:val="center"/>
          </w:tcPr>
          <w:p w14:paraId="79D729D6" w14:textId="359659C2" w:rsidR="00530B4F" w:rsidRDefault="0082201F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24.72</w:t>
            </w:r>
          </w:p>
        </w:tc>
        <w:tc>
          <w:tcPr>
            <w:tcW w:w="700" w:type="dxa"/>
            <w:vAlign w:val="center"/>
          </w:tcPr>
          <w:p w14:paraId="4E6CEB41" w14:textId="77777777" w:rsidR="00530B4F" w:rsidRDefault="00530B4F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  <w:vAlign w:val="center"/>
          </w:tcPr>
          <w:p w14:paraId="438A07D6" w14:textId="77777777" w:rsidR="00530B4F" w:rsidRDefault="00530B4F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  <w:vAlign w:val="center"/>
          </w:tcPr>
          <w:p w14:paraId="215B73D0" w14:textId="77777777" w:rsidR="00530B4F" w:rsidRDefault="00530B4F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  <w:vAlign w:val="center"/>
          </w:tcPr>
          <w:p w14:paraId="4C76A896" w14:textId="77777777" w:rsidR="00530B4F" w:rsidRDefault="00530B4F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530B4F" w14:paraId="71840420" w14:textId="77777777" w:rsidTr="00DD65B2">
        <w:trPr>
          <w:trHeight w:val="460"/>
        </w:trPr>
        <w:tc>
          <w:tcPr>
            <w:tcW w:w="948" w:type="dxa"/>
            <w:vAlign w:val="center"/>
          </w:tcPr>
          <w:p w14:paraId="30625D02" w14:textId="77777777" w:rsidR="00530B4F" w:rsidRPr="00AA61CF" w:rsidRDefault="00530B4F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30</w:t>
            </w:r>
          </w:p>
        </w:tc>
        <w:tc>
          <w:tcPr>
            <w:tcW w:w="701" w:type="dxa"/>
            <w:vAlign w:val="center"/>
          </w:tcPr>
          <w:p w14:paraId="4896F0C4" w14:textId="49A627B6" w:rsidR="00530B4F" w:rsidRDefault="0082201F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20.14</w:t>
            </w:r>
          </w:p>
        </w:tc>
        <w:tc>
          <w:tcPr>
            <w:tcW w:w="701" w:type="dxa"/>
            <w:vAlign w:val="center"/>
          </w:tcPr>
          <w:p w14:paraId="619F5D47" w14:textId="211A85E2" w:rsidR="00530B4F" w:rsidRDefault="0082201F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21.98</w:t>
            </w:r>
          </w:p>
        </w:tc>
        <w:tc>
          <w:tcPr>
            <w:tcW w:w="700" w:type="dxa"/>
            <w:vAlign w:val="center"/>
          </w:tcPr>
          <w:p w14:paraId="39CA50F9" w14:textId="7645ACF8" w:rsidR="00530B4F" w:rsidRDefault="0082201F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23.20</w:t>
            </w:r>
          </w:p>
        </w:tc>
        <w:tc>
          <w:tcPr>
            <w:tcW w:w="700" w:type="dxa"/>
            <w:vAlign w:val="center"/>
          </w:tcPr>
          <w:p w14:paraId="219134AE" w14:textId="1AD964C7" w:rsidR="00530B4F" w:rsidRDefault="0082201F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23.35</w:t>
            </w:r>
          </w:p>
        </w:tc>
        <w:tc>
          <w:tcPr>
            <w:tcW w:w="700" w:type="dxa"/>
            <w:vAlign w:val="center"/>
          </w:tcPr>
          <w:p w14:paraId="5A9EB0FB" w14:textId="6182DEE9" w:rsidR="00530B4F" w:rsidRDefault="0082201F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23.81</w:t>
            </w:r>
          </w:p>
        </w:tc>
        <w:tc>
          <w:tcPr>
            <w:tcW w:w="700" w:type="dxa"/>
            <w:vAlign w:val="center"/>
          </w:tcPr>
          <w:p w14:paraId="14F868C0" w14:textId="732B4BDA" w:rsidR="00530B4F" w:rsidRDefault="0082201F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23.81</w:t>
            </w:r>
          </w:p>
        </w:tc>
        <w:tc>
          <w:tcPr>
            <w:tcW w:w="700" w:type="dxa"/>
            <w:vAlign w:val="center"/>
          </w:tcPr>
          <w:p w14:paraId="18D73FE1" w14:textId="7898A327" w:rsidR="00530B4F" w:rsidRDefault="0082201F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24.27</w:t>
            </w:r>
          </w:p>
        </w:tc>
        <w:tc>
          <w:tcPr>
            <w:tcW w:w="700" w:type="dxa"/>
            <w:vAlign w:val="center"/>
          </w:tcPr>
          <w:p w14:paraId="14BA6213" w14:textId="7D746475" w:rsidR="00530B4F" w:rsidRDefault="0082201F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24.36</w:t>
            </w:r>
          </w:p>
        </w:tc>
        <w:tc>
          <w:tcPr>
            <w:tcW w:w="700" w:type="dxa"/>
            <w:vAlign w:val="center"/>
          </w:tcPr>
          <w:p w14:paraId="4D512361" w14:textId="7C62DDF3" w:rsidR="00530B4F" w:rsidRDefault="0082201F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24.72</w:t>
            </w:r>
          </w:p>
        </w:tc>
        <w:tc>
          <w:tcPr>
            <w:tcW w:w="700" w:type="dxa"/>
            <w:vAlign w:val="center"/>
          </w:tcPr>
          <w:p w14:paraId="3CC72E15" w14:textId="71797CDC" w:rsidR="00530B4F" w:rsidRDefault="0082201F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24.84</w:t>
            </w:r>
          </w:p>
        </w:tc>
        <w:tc>
          <w:tcPr>
            <w:tcW w:w="700" w:type="dxa"/>
            <w:vAlign w:val="center"/>
          </w:tcPr>
          <w:p w14:paraId="403FC068" w14:textId="48AA4100" w:rsidR="00530B4F" w:rsidRDefault="0082201F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24.93</w:t>
            </w:r>
          </w:p>
        </w:tc>
        <w:tc>
          <w:tcPr>
            <w:tcW w:w="700" w:type="dxa"/>
            <w:vAlign w:val="center"/>
          </w:tcPr>
          <w:p w14:paraId="68C53B62" w14:textId="7E6B2A3A" w:rsidR="00530B4F" w:rsidRDefault="0082201F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25.00</w:t>
            </w:r>
          </w:p>
        </w:tc>
      </w:tr>
      <w:tr w:rsidR="00530B4F" w14:paraId="361ECE4B" w14:textId="77777777" w:rsidTr="00DD65B2">
        <w:trPr>
          <w:trHeight w:val="460"/>
        </w:trPr>
        <w:tc>
          <w:tcPr>
            <w:tcW w:w="948" w:type="dxa"/>
            <w:vAlign w:val="center"/>
          </w:tcPr>
          <w:p w14:paraId="709F448C" w14:textId="77777777" w:rsidR="00530B4F" w:rsidRPr="00AA61CF" w:rsidRDefault="00530B4F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  <w:vAlign w:val="center"/>
          </w:tcPr>
          <w:p w14:paraId="291591B1" w14:textId="77777777" w:rsidR="00530B4F" w:rsidRDefault="00530B4F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1" w:type="dxa"/>
            <w:vAlign w:val="center"/>
          </w:tcPr>
          <w:p w14:paraId="3B82FD41" w14:textId="4C2E6F64" w:rsidR="00530B4F" w:rsidRDefault="0040205B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20.15</w:t>
            </w:r>
          </w:p>
        </w:tc>
        <w:tc>
          <w:tcPr>
            <w:tcW w:w="700" w:type="dxa"/>
            <w:vAlign w:val="center"/>
          </w:tcPr>
          <w:p w14:paraId="2B3A8B2B" w14:textId="7D4E5C43" w:rsidR="00530B4F" w:rsidRDefault="0040205B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21.98</w:t>
            </w:r>
          </w:p>
        </w:tc>
        <w:tc>
          <w:tcPr>
            <w:tcW w:w="700" w:type="dxa"/>
            <w:vAlign w:val="center"/>
          </w:tcPr>
          <w:p w14:paraId="7FF9C151" w14:textId="7BFA1046" w:rsidR="00530B4F" w:rsidRDefault="0040205B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21.98</w:t>
            </w:r>
          </w:p>
        </w:tc>
        <w:tc>
          <w:tcPr>
            <w:tcW w:w="700" w:type="dxa"/>
            <w:vAlign w:val="center"/>
          </w:tcPr>
          <w:p w14:paraId="2B7A3252" w14:textId="71406243" w:rsidR="00530B4F" w:rsidRDefault="0040205B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22.71</w:t>
            </w:r>
          </w:p>
        </w:tc>
        <w:tc>
          <w:tcPr>
            <w:tcW w:w="700" w:type="dxa"/>
            <w:vAlign w:val="center"/>
          </w:tcPr>
          <w:p w14:paraId="09E92ADD" w14:textId="19196B0C" w:rsidR="00530B4F" w:rsidRDefault="0040205B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23.20</w:t>
            </w:r>
          </w:p>
        </w:tc>
        <w:tc>
          <w:tcPr>
            <w:tcW w:w="700" w:type="dxa"/>
            <w:vAlign w:val="center"/>
          </w:tcPr>
          <w:p w14:paraId="511E272B" w14:textId="4BDD850B" w:rsidR="00530B4F" w:rsidRDefault="0040205B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23.35</w:t>
            </w:r>
          </w:p>
        </w:tc>
        <w:tc>
          <w:tcPr>
            <w:tcW w:w="700" w:type="dxa"/>
            <w:vAlign w:val="center"/>
          </w:tcPr>
          <w:p w14:paraId="0CD17005" w14:textId="2FA9101A" w:rsidR="00530B4F" w:rsidRDefault="0040205B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23.81</w:t>
            </w:r>
          </w:p>
        </w:tc>
        <w:tc>
          <w:tcPr>
            <w:tcW w:w="700" w:type="dxa"/>
            <w:vAlign w:val="center"/>
          </w:tcPr>
          <w:p w14:paraId="59C329A9" w14:textId="50A1931E" w:rsidR="00530B4F" w:rsidRDefault="0040205B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24.11</w:t>
            </w:r>
          </w:p>
        </w:tc>
        <w:tc>
          <w:tcPr>
            <w:tcW w:w="700" w:type="dxa"/>
            <w:vAlign w:val="center"/>
          </w:tcPr>
          <w:p w14:paraId="2F221AED" w14:textId="6F6F5EF6" w:rsidR="00530B4F" w:rsidRDefault="0040205B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24.50</w:t>
            </w:r>
          </w:p>
        </w:tc>
        <w:tc>
          <w:tcPr>
            <w:tcW w:w="700" w:type="dxa"/>
            <w:vAlign w:val="center"/>
          </w:tcPr>
          <w:p w14:paraId="4A6FCA77" w14:textId="3DF33291" w:rsidR="00530B4F" w:rsidRDefault="0040205B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24.62</w:t>
            </w:r>
          </w:p>
        </w:tc>
        <w:tc>
          <w:tcPr>
            <w:tcW w:w="700" w:type="dxa"/>
            <w:vAlign w:val="center"/>
          </w:tcPr>
          <w:p w14:paraId="3DB7254D" w14:textId="58DE0081" w:rsidR="00530B4F" w:rsidRDefault="0040205B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24.72</w:t>
            </w:r>
          </w:p>
        </w:tc>
      </w:tr>
    </w:tbl>
    <w:p w14:paraId="467105F0" w14:textId="77777777" w:rsidR="00B82664" w:rsidRDefault="00B82664" w:rsidP="00DD65B2">
      <w:pPr>
        <w:rPr>
          <w:lang w:val="en-US"/>
        </w:rPr>
      </w:pPr>
    </w:p>
    <w:p w14:paraId="5DF6A729" w14:textId="6EB1D8F9" w:rsidR="006C574A" w:rsidRDefault="00DD65B2" w:rsidP="00DD65B2">
      <w:pPr>
        <w:rPr>
          <w:b/>
          <w:bCs/>
          <w:lang w:val="en-US"/>
        </w:rPr>
      </w:pPr>
      <w:r>
        <w:rPr>
          <w:lang w:val="en-US"/>
        </w:rPr>
        <w:lastRenderedPageBreak/>
        <w:t>Similarly, f</w:t>
      </w:r>
      <w:r w:rsidR="006C574A">
        <w:rPr>
          <w:lang w:val="en-US"/>
        </w:rPr>
        <w:t>or NR TDD frequency range of FR1 (410 MHz – 7125</w:t>
      </w:r>
      <w:r w:rsidR="006C574A" w:rsidRPr="00017802">
        <w:rPr>
          <w:lang w:val="en-US"/>
        </w:rPr>
        <w:t xml:space="preserve"> MHz</w:t>
      </w:r>
      <w:r w:rsidR="006C574A">
        <w:rPr>
          <w:lang w:val="en-US"/>
        </w:rPr>
        <w:t>) DL peak spectral efficiency is calculated and presented in Table 4</w:t>
      </w:r>
      <w:r w:rsidR="006C574A" w:rsidRPr="00017802">
        <w:rPr>
          <w:lang w:val="en-US"/>
        </w:rPr>
        <w:t xml:space="preserve">. </w:t>
      </w:r>
      <w:r w:rsidR="0050138B">
        <w:rPr>
          <w:lang w:val="en-US"/>
        </w:rPr>
        <w:t xml:space="preserve">In TDD, </w:t>
      </w:r>
      <w:r w:rsidR="0050138B" w:rsidRPr="00400AB7">
        <w:rPr>
          <w:lang w:val="en-US"/>
        </w:rPr>
        <w:t>effective bandwidth, which is the operating bandwidth normalized considering the uplink/downlink ratio</w:t>
      </w:r>
      <w:r w:rsidR="0050138B">
        <w:rPr>
          <w:lang w:val="en-US"/>
        </w:rPr>
        <w:t xml:space="preserve">, needs to be considered. </w:t>
      </w:r>
      <w:r w:rsidR="006C574A" w:rsidRPr="006C574A">
        <w:rPr>
          <w:lang w:val="en-US"/>
        </w:rPr>
        <w:t xml:space="preserve">The DL/UL </w:t>
      </w:r>
      <w:r w:rsidR="0051681A">
        <w:rPr>
          <w:lang w:val="en-US"/>
        </w:rPr>
        <w:t>ratio of 4:1 is</w:t>
      </w:r>
      <w:r w:rsidR="006C574A" w:rsidRPr="006C574A">
        <w:rPr>
          <w:lang w:val="en-US"/>
        </w:rPr>
        <w:t xml:space="preserve"> evaluated.</w:t>
      </w:r>
    </w:p>
    <w:p w14:paraId="51CA1017" w14:textId="77777777" w:rsidR="00B82664" w:rsidRDefault="00B82664" w:rsidP="00DD65B2">
      <w:pPr>
        <w:rPr>
          <w:b/>
          <w:bCs/>
          <w:lang w:val="en-US"/>
        </w:rPr>
      </w:pPr>
    </w:p>
    <w:p w14:paraId="593EDA4A" w14:textId="371B266D" w:rsidR="006C574A" w:rsidRDefault="006C574A" w:rsidP="00DD65B2">
      <w:pPr>
        <w:jc w:val="center"/>
        <w:rPr>
          <w:lang w:val="en-US"/>
        </w:rPr>
      </w:pPr>
      <w:r>
        <w:rPr>
          <w:b/>
          <w:bCs/>
          <w:lang w:val="en-US"/>
        </w:rPr>
        <w:t>Table 4</w:t>
      </w:r>
      <w:r w:rsidRPr="00E022E1">
        <w:rPr>
          <w:lang w:val="en-US"/>
        </w:rPr>
        <w:t xml:space="preserve"> </w:t>
      </w:r>
      <w:r>
        <w:rPr>
          <w:lang w:val="en-US"/>
        </w:rPr>
        <w:t>NR</w:t>
      </w:r>
      <w:r w:rsidR="0051681A">
        <w:rPr>
          <w:lang w:val="en-US"/>
        </w:rPr>
        <w:t xml:space="preserve"> T</w:t>
      </w:r>
      <w:r>
        <w:rPr>
          <w:lang w:val="en-US"/>
        </w:rPr>
        <w:t>DD frequency range of FR1 (410 MHz – 7125</w:t>
      </w:r>
      <w:r w:rsidRPr="00E022E1">
        <w:rPr>
          <w:lang w:val="en-US"/>
        </w:rPr>
        <w:t xml:space="preserve"> MHz) DL peak spectral efficiency (bit/s/Hz)</w:t>
      </w:r>
    </w:p>
    <w:p w14:paraId="5B493BAC" w14:textId="210D6451" w:rsidR="006C574A" w:rsidRDefault="006C574A" w:rsidP="00DD65B2">
      <w:pPr>
        <w:jc w:val="center"/>
        <w:rPr>
          <w:lang w:eastAsia="zh-CN"/>
        </w:rPr>
      </w:pPr>
      <w:r>
        <w:rPr>
          <w:lang w:eastAsia="zh-CN"/>
        </w:rPr>
        <w:t>8-layer downlink transmission, with 256QAM modulation, and a maximum coding rate of 0.9258</w:t>
      </w:r>
      <w:r w:rsidR="0051681A">
        <w:rPr>
          <w:lang w:eastAsia="zh-CN"/>
        </w:rPr>
        <w:t>, DL/UL 4:1</w:t>
      </w:r>
    </w:p>
    <w:p w14:paraId="031C7D98" w14:textId="77777777" w:rsidR="008B6A1A" w:rsidRDefault="008B6A1A" w:rsidP="00DD65B2">
      <w:pPr>
        <w:jc w:val="center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6C574A" w14:paraId="23C268C6" w14:textId="77777777" w:rsidTr="00DD65B2">
        <w:trPr>
          <w:trHeight w:val="460"/>
        </w:trPr>
        <w:tc>
          <w:tcPr>
            <w:tcW w:w="948" w:type="dxa"/>
            <w:vAlign w:val="center"/>
          </w:tcPr>
          <w:p w14:paraId="238319D1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778222B7" w14:textId="77777777" w:rsidR="006C574A" w:rsidRPr="00AA61CF" w:rsidRDefault="006C574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</w:p>
          <w:p w14:paraId="567AC4BC" w14:textId="77777777" w:rsidR="006C574A" w:rsidRPr="00AA61CF" w:rsidRDefault="006C574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3EDA3CAF" w14:textId="77777777" w:rsidR="006C574A" w:rsidRPr="00AA61CF" w:rsidRDefault="006C574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</w:p>
          <w:p w14:paraId="5556DDFD" w14:textId="77777777" w:rsidR="006C574A" w:rsidRPr="00AA61CF" w:rsidRDefault="006C574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08F19A4" w14:textId="77777777" w:rsidR="006C574A" w:rsidRPr="00AA61CF" w:rsidRDefault="006C574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15</w:t>
            </w:r>
          </w:p>
          <w:p w14:paraId="0CD75D2E" w14:textId="77777777" w:rsidR="006C574A" w:rsidRPr="00AA61CF" w:rsidRDefault="006C574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3D1E74D2" w14:textId="77777777" w:rsidR="006C574A" w:rsidRPr="00AA61CF" w:rsidRDefault="006C574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</w:t>
            </w:r>
          </w:p>
          <w:p w14:paraId="547469BA" w14:textId="77777777" w:rsidR="006C574A" w:rsidRPr="00AA61CF" w:rsidRDefault="006C574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1108E707" w14:textId="77777777" w:rsidR="006C574A" w:rsidRPr="00AA61CF" w:rsidRDefault="006C574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25</w:t>
            </w:r>
          </w:p>
          <w:p w14:paraId="1D93C4F2" w14:textId="77777777" w:rsidR="006C574A" w:rsidRPr="00AA61CF" w:rsidRDefault="006C574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48F743BE" w14:textId="77777777" w:rsidR="006C574A" w:rsidRPr="00AA61CF" w:rsidRDefault="006C574A" w:rsidP="00DD65B2">
            <w:pPr>
              <w:jc w:val="center"/>
              <w:rPr>
                <w:rFonts w:eastAsia="Yu Mincho"/>
                <w:sz w:val="16"/>
              </w:rPr>
            </w:pPr>
            <w:r w:rsidRPr="00AA61CF">
              <w:rPr>
                <w:rFonts w:eastAsia="Yu Mincho"/>
                <w:sz w:val="16"/>
              </w:rPr>
              <w:t>30</w:t>
            </w:r>
          </w:p>
          <w:p w14:paraId="50EEA2F8" w14:textId="77777777" w:rsidR="006C574A" w:rsidRPr="00AA61CF" w:rsidRDefault="006C574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6DEEE0DA" w14:textId="77777777" w:rsidR="006C574A" w:rsidRPr="00AA61CF" w:rsidRDefault="006C574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</w:t>
            </w:r>
          </w:p>
          <w:p w14:paraId="00350675" w14:textId="77777777" w:rsidR="006C574A" w:rsidRPr="00AA61CF" w:rsidRDefault="006C574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D456257" w14:textId="77777777" w:rsidR="006C574A" w:rsidRPr="00AA61CF" w:rsidRDefault="006C574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50</w:t>
            </w:r>
          </w:p>
          <w:p w14:paraId="39DA610D" w14:textId="77777777" w:rsidR="006C574A" w:rsidRPr="00AA61CF" w:rsidRDefault="006C574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9C9EF7B" w14:textId="77777777" w:rsidR="006C574A" w:rsidRPr="00AA61CF" w:rsidRDefault="006C574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60</w:t>
            </w:r>
          </w:p>
          <w:p w14:paraId="22F4FBFB" w14:textId="77777777" w:rsidR="006C574A" w:rsidRPr="00AA61CF" w:rsidRDefault="006C574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2B738BCD" w14:textId="77777777" w:rsidR="006C574A" w:rsidRPr="00AA61CF" w:rsidRDefault="006C574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80</w:t>
            </w:r>
          </w:p>
          <w:p w14:paraId="0AC6F31F" w14:textId="77777777" w:rsidR="006C574A" w:rsidRPr="00AA61CF" w:rsidRDefault="006C574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D698FDB" w14:textId="77777777" w:rsidR="006C574A" w:rsidRPr="00AA61CF" w:rsidRDefault="006C574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90</w:t>
            </w:r>
          </w:p>
          <w:p w14:paraId="25C082C0" w14:textId="77777777" w:rsidR="006C574A" w:rsidRPr="00AA61CF" w:rsidRDefault="006C574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6564D072" w14:textId="77777777" w:rsidR="006C574A" w:rsidRPr="00AA61CF" w:rsidRDefault="006C574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100</w:t>
            </w:r>
          </w:p>
          <w:p w14:paraId="679D974E" w14:textId="77777777" w:rsidR="006C574A" w:rsidRPr="00AA61CF" w:rsidRDefault="006C574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6C574A" w14:paraId="3D800927" w14:textId="77777777" w:rsidTr="00DD65B2">
        <w:trPr>
          <w:trHeight w:val="460"/>
        </w:trPr>
        <w:tc>
          <w:tcPr>
            <w:tcW w:w="948" w:type="dxa"/>
            <w:vAlign w:val="center"/>
          </w:tcPr>
          <w:p w14:paraId="743A3ACF" w14:textId="77777777" w:rsidR="006C574A" w:rsidRPr="00AA61CF" w:rsidRDefault="006C574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15</w:t>
            </w:r>
          </w:p>
        </w:tc>
        <w:tc>
          <w:tcPr>
            <w:tcW w:w="701" w:type="dxa"/>
            <w:vAlign w:val="center"/>
          </w:tcPr>
          <w:p w14:paraId="78EF10F4" w14:textId="30785137" w:rsidR="006C574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42.80</w:t>
            </w:r>
          </w:p>
        </w:tc>
        <w:tc>
          <w:tcPr>
            <w:tcW w:w="701" w:type="dxa"/>
            <w:vAlign w:val="center"/>
          </w:tcPr>
          <w:p w14:paraId="066A674A" w14:textId="30117001" w:rsidR="006C574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44.51</w:t>
            </w:r>
          </w:p>
        </w:tc>
        <w:tc>
          <w:tcPr>
            <w:tcW w:w="700" w:type="dxa"/>
            <w:vAlign w:val="center"/>
          </w:tcPr>
          <w:p w14:paraId="3B094518" w14:textId="283F95CA" w:rsidR="006C574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45.08</w:t>
            </w:r>
          </w:p>
        </w:tc>
        <w:tc>
          <w:tcPr>
            <w:tcW w:w="700" w:type="dxa"/>
            <w:vAlign w:val="center"/>
          </w:tcPr>
          <w:p w14:paraId="6DAC80EF" w14:textId="3FA0E4D3" w:rsidR="006C574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45.37</w:t>
            </w:r>
          </w:p>
        </w:tc>
        <w:tc>
          <w:tcPr>
            <w:tcW w:w="700" w:type="dxa"/>
            <w:vAlign w:val="center"/>
          </w:tcPr>
          <w:p w14:paraId="0DDB3B27" w14:textId="2C2754EE" w:rsidR="006C574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45.54</w:t>
            </w:r>
          </w:p>
        </w:tc>
        <w:tc>
          <w:tcPr>
            <w:tcW w:w="700" w:type="dxa"/>
            <w:vAlign w:val="center"/>
          </w:tcPr>
          <w:p w14:paraId="2E78F10E" w14:textId="3825DF5D" w:rsidR="006C574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45.65</w:t>
            </w:r>
          </w:p>
        </w:tc>
        <w:tc>
          <w:tcPr>
            <w:tcW w:w="700" w:type="dxa"/>
            <w:vAlign w:val="center"/>
          </w:tcPr>
          <w:p w14:paraId="70C46E2A" w14:textId="304BD0C7" w:rsidR="006C574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46.23</w:t>
            </w:r>
          </w:p>
        </w:tc>
        <w:tc>
          <w:tcPr>
            <w:tcW w:w="700" w:type="dxa"/>
            <w:vAlign w:val="center"/>
          </w:tcPr>
          <w:p w14:paraId="3AC3376C" w14:textId="413FB9BC" w:rsidR="006C574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46.23</w:t>
            </w:r>
          </w:p>
        </w:tc>
        <w:tc>
          <w:tcPr>
            <w:tcW w:w="700" w:type="dxa"/>
            <w:vAlign w:val="center"/>
          </w:tcPr>
          <w:p w14:paraId="6E31EEF1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  <w:vAlign w:val="center"/>
          </w:tcPr>
          <w:p w14:paraId="0CA8830C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  <w:vAlign w:val="center"/>
          </w:tcPr>
          <w:p w14:paraId="37B821A0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  <w:vAlign w:val="center"/>
          </w:tcPr>
          <w:p w14:paraId="2DEECECB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51681A" w14:paraId="0446CC0D" w14:textId="77777777" w:rsidTr="00DD65B2">
        <w:trPr>
          <w:trHeight w:val="460"/>
        </w:trPr>
        <w:tc>
          <w:tcPr>
            <w:tcW w:w="948" w:type="dxa"/>
            <w:vAlign w:val="center"/>
          </w:tcPr>
          <w:p w14:paraId="73EBFAFA" w14:textId="77777777" w:rsidR="0051681A" w:rsidRPr="00AA61CF" w:rsidRDefault="0051681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30</w:t>
            </w:r>
          </w:p>
        </w:tc>
        <w:tc>
          <w:tcPr>
            <w:tcW w:w="701" w:type="dxa"/>
            <w:vAlign w:val="center"/>
          </w:tcPr>
          <w:p w14:paraId="3F08328B" w14:textId="5D68E9EB" w:rsidR="0051681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37.66</w:t>
            </w:r>
          </w:p>
        </w:tc>
        <w:tc>
          <w:tcPr>
            <w:tcW w:w="701" w:type="dxa"/>
            <w:vAlign w:val="center"/>
          </w:tcPr>
          <w:p w14:paraId="3887E3BA" w14:textId="1CE2D29C" w:rsidR="0051681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41.09</w:t>
            </w:r>
          </w:p>
        </w:tc>
        <w:tc>
          <w:tcPr>
            <w:tcW w:w="700" w:type="dxa"/>
            <w:vAlign w:val="center"/>
          </w:tcPr>
          <w:p w14:paraId="50381941" w14:textId="44B67646" w:rsidR="0051681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43.37</w:t>
            </w:r>
          </w:p>
        </w:tc>
        <w:tc>
          <w:tcPr>
            <w:tcW w:w="700" w:type="dxa"/>
            <w:vAlign w:val="center"/>
          </w:tcPr>
          <w:p w14:paraId="132DC5C8" w14:textId="26E43FD6" w:rsidR="0051681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43.66</w:t>
            </w:r>
          </w:p>
        </w:tc>
        <w:tc>
          <w:tcPr>
            <w:tcW w:w="700" w:type="dxa"/>
            <w:vAlign w:val="center"/>
          </w:tcPr>
          <w:p w14:paraId="5E094419" w14:textId="1D71B781" w:rsidR="0051681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44.51</w:t>
            </w:r>
          </w:p>
        </w:tc>
        <w:tc>
          <w:tcPr>
            <w:tcW w:w="700" w:type="dxa"/>
            <w:vAlign w:val="center"/>
          </w:tcPr>
          <w:p w14:paraId="24866700" w14:textId="2E99A3A2" w:rsidR="0051681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44.51</w:t>
            </w:r>
          </w:p>
        </w:tc>
        <w:tc>
          <w:tcPr>
            <w:tcW w:w="700" w:type="dxa"/>
            <w:vAlign w:val="center"/>
          </w:tcPr>
          <w:p w14:paraId="532A1E66" w14:textId="57275A89" w:rsidR="0051681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45.37</w:t>
            </w:r>
          </w:p>
        </w:tc>
        <w:tc>
          <w:tcPr>
            <w:tcW w:w="700" w:type="dxa"/>
            <w:vAlign w:val="center"/>
          </w:tcPr>
          <w:p w14:paraId="11DD2020" w14:textId="1BC92E10" w:rsidR="0051681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45.54</w:t>
            </w:r>
          </w:p>
        </w:tc>
        <w:tc>
          <w:tcPr>
            <w:tcW w:w="700" w:type="dxa"/>
            <w:vAlign w:val="center"/>
          </w:tcPr>
          <w:p w14:paraId="6B2622C5" w14:textId="0FF8CBB2" w:rsidR="0051681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46.23</w:t>
            </w:r>
          </w:p>
        </w:tc>
        <w:tc>
          <w:tcPr>
            <w:tcW w:w="700" w:type="dxa"/>
            <w:vAlign w:val="center"/>
          </w:tcPr>
          <w:p w14:paraId="3110D3C8" w14:textId="56AB21C3" w:rsidR="0051681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46.44</w:t>
            </w:r>
          </w:p>
        </w:tc>
        <w:tc>
          <w:tcPr>
            <w:tcW w:w="700" w:type="dxa"/>
            <w:vAlign w:val="center"/>
          </w:tcPr>
          <w:p w14:paraId="6D996F01" w14:textId="7E3B1538" w:rsidR="0051681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46.61</w:t>
            </w:r>
          </w:p>
        </w:tc>
        <w:tc>
          <w:tcPr>
            <w:tcW w:w="700" w:type="dxa"/>
            <w:vAlign w:val="center"/>
          </w:tcPr>
          <w:p w14:paraId="324460EA" w14:textId="3BAA0E50" w:rsidR="0051681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46.74</w:t>
            </w:r>
          </w:p>
        </w:tc>
      </w:tr>
      <w:tr w:rsidR="0051681A" w14:paraId="15CBC37B" w14:textId="77777777" w:rsidTr="00DD65B2">
        <w:trPr>
          <w:trHeight w:val="460"/>
        </w:trPr>
        <w:tc>
          <w:tcPr>
            <w:tcW w:w="948" w:type="dxa"/>
            <w:vAlign w:val="center"/>
          </w:tcPr>
          <w:p w14:paraId="2B0EB670" w14:textId="77777777" w:rsidR="0051681A" w:rsidRPr="00AA61CF" w:rsidRDefault="0051681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  <w:vAlign w:val="center"/>
          </w:tcPr>
          <w:p w14:paraId="6E79A480" w14:textId="7A0DA900" w:rsidR="0051681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1" w:type="dxa"/>
            <w:vAlign w:val="center"/>
          </w:tcPr>
          <w:p w14:paraId="4BA8BD15" w14:textId="79195F0E" w:rsidR="0051681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37.66</w:t>
            </w:r>
          </w:p>
        </w:tc>
        <w:tc>
          <w:tcPr>
            <w:tcW w:w="700" w:type="dxa"/>
            <w:vAlign w:val="center"/>
          </w:tcPr>
          <w:p w14:paraId="236AAEC4" w14:textId="5D60983E" w:rsidR="0051681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41.09</w:t>
            </w:r>
          </w:p>
        </w:tc>
        <w:tc>
          <w:tcPr>
            <w:tcW w:w="700" w:type="dxa"/>
            <w:vAlign w:val="center"/>
          </w:tcPr>
          <w:p w14:paraId="4EBF4A67" w14:textId="5DBD5B9D" w:rsidR="0051681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41.09</w:t>
            </w:r>
          </w:p>
        </w:tc>
        <w:tc>
          <w:tcPr>
            <w:tcW w:w="700" w:type="dxa"/>
            <w:vAlign w:val="center"/>
          </w:tcPr>
          <w:p w14:paraId="1B9629E9" w14:textId="44706EC0" w:rsidR="0051681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42.46</w:t>
            </w:r>
          </w:p>
        </w:tc>
        <w:tc>
          <w:tcPr>
            <w:tcW w:w="700" w:type="dxa"/>
            <w:vAlign w:val="center"/>
          </w:tcPr>
          <w:p w14:paraId="6AD296F9" w14:textId="285597FD" w:rsidR="0051681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43.37</w:t>
            </w:r>
          </w:p>
        </w:tc>
        <w:tc>
          <w:tcPr>
            <w:tcW w:w="700" w:type="dxa"/>
            <w:vAlign w:val="center"/>
          </w:tcPr>
          <w:p w14:paraId="2BF6CBAA" w14:textId="76B48F63" w:rsidR="0051681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43.66</w:t>
            </w:r>
          </w:p>
        </w:tc>
        <w:tc>
          <w:tcPr>
            <w:tcW w:w="700" w:type="dxa"/>
            <w:vAlign w:val="center"/>
          </w:tcPr>
          <w:p w14:paraId="35F00051" w14:textId="07EDB7F0" w:rsidR="0051681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44.51</w:t>
            </w:r>
          </w:p>
        </w:tc>
        <w:tc>
          <w:tcPr>
            <w:tcW w:w="700" w:type="dxa"/>
            <w:vAlign w:val="center"/>
          </w:tcPr>
          <w:p w14:paraId="5348E8CF" w14:textId="45B6261D" w:rsidR="0051681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45.08</w:t>
            </w:r>
          </w:p>
        </w:tc>
        <w:tc>
          <w:tcPr>
            <w:tcW w:w="700" w:type="dxa"/>
            <w:vAlign w:val="center"/>
          </w:tcPr>
          <w:p w14:paraId="2F182EAF" w14:textId="77E0FBA7" w:rsidR="0051681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45.80</w:t>
            </w:r>
          </w:p>
        </w:tc>
        <w:tc>
          <w:tcPr>
            <w:tcW w:w="700" w:type="dxa"/>
            <w:vAlign w:val="center"/>
          </w:tcPr>
          <w:p w14:paraId="4DC3AF1D" w14:textId="0D231CB3" w:rsidR="0051681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46.04</w:t>
            </w:r>
          </w:p>
        </w:tc>
        <w:tc>
          <w:tcPr>
            <w:tcW w:w="700" w:type="dxa"/>
            <w:vAlign w:val="center"/>
          </w:tcPr>
          <w:p w14:paraId="6721C692" w14:textId="1710A937" w:rsidR="0051681A" w:rsidRDefault="0051681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46.23</w:t>
            </w:r>
          </w:p>
        </w:tc>
      </w:tr>
    </w:tbl>
    <w:p w14:paraId="45170380" w14:textId="77777777" w:rsidR="006C574A" w:rsidRDefault="006C574A" w:rsidP="00DD65B2">
      <w:pPr>
        <w:rPr>
          <w:lang w:val="en-US"/>
        </w:rPr>
      </w:pPr>
    </w:p>
    <w:p w14:paraId="1EEE19B9" w14:textId="52734CA0" w:rsidR="006C574A" w:rsidRDefault="00DD65B2" w:rsidP="00DD65B2">
      <w:pPr>
        <w:rPr>
          <w:lang w:val="en-US"/>
        </w:rPr>
      </w:pPr>
      <w:r>
        <w:rPr>
          <w:lang w:val="en-US"/>
        </w:rPr>
        <w:t>Further, f</w:t>
      </w:r>
      <w:r w:rsidR="006C574A">
        <w:rPr>
          <w:lang w:val="en-US"/>
        </w:rPr>
        <w:t xml:space="preserve">or NR </w:t>
      </w:r>
      <w:r w:rsidR="00FF3124">
        <w:rPr>
          <w:lang w:val="en-US"/>
        </w:rPr>
        <w:t>T</w:t>
      </w:r>
      <w:r w:rsidR="006C574A">
        <w:rPr>
          <w:lang w:val="en-US"/>
        </w:rPr>
        <w:t>DD frequency range of FR1 (410 MHz – 7125</w:t>
      </w:r>
      <w:r w:rsidR="006C574A" w:rsidRPr="00017802">
        <w:rPr>
          <w:lang w:val="en-US"/>
        </w:rPr>
        <w:t xml:space="preserve"> MHz</w:t>
      </w:r>
      <w:r w:rsidR="006C574A">
        <w:rPr>
          <w:lang w:val="en-US"/>
        </w:rPr>
        <w:t>) UL peak spectral efficiency is cal</w:t>
      </w:r>
      <w:r w:rsidR="00FF3124">
        <w:rPr>
          <w:lang w:val="en-US"/>
        </w:rPr>
        <w:t>culated and presented in Table 5</w:t>
      </w:r>
      <w:r w:rsidR="006C574A" w:rsidRPr="00017802">
        <w:rPr>
          <w:lang w:val="en-US"/>
        </w:rPr>
        <w:t xml:space="preserve">. </w:t>
      </w:r>
      <w:r w:rsidR="00FF3124" w:rsidRPr="006C574A">
        <w:rPr>
          <w:lang w:val="en-US"/>
        </w:rPr>
        <w:t xml:space="preserve">The DL/UL </w:t>
      </w:r>
      <w:r w:rsidR="00FF3124">
        <w:rPr>
          <w:lang w:val="en-US"/>
        </w:rPr>
        <w:t>ratio of 4:1 is</w:t>
      </w:r>
      <w:r w:rsidR="00FF3124" w:rsidRPr="006C574A">
        <w:rPr>
          <w:lang w:val="en-US"/>
        </w:rPr>
        <w:t xml:space="preserve"> evaluated.</w:t>
      </w:r>
    </w:p>
    <w:p w14:paraId="770ADCCC" w14:textId="77777777" w:rsidR="008B6A1A" w:rsidRDefault="008B6A1A" w:rsidP="00DD65B2">
      <w:pPr>
        <w:rPr>
          <w:lang w:val="en-US"/>
        </w:rPr>
      </w:pPr>
    </w:p>
    <w:p w14:paraId="2F5D87FA" w14:textId="77777777" w:rsidR="006C574A" w:rsidRDefault="006C574A" w:rsidP="00DD65B2">
      <w:pPr>
        <w:rPr>
          <w:lang w:val="en-US"/>
        </w:rPr>
      </w:pPr>
    </w:p>
    <w:p w14:paraId="32365D62" w14:textId="041105D8" w:rsidR="006C574A" w:rsidRDefault="006C574A" w:rsidP="00DD65B2">
      <w:pPr>
        <w:jc w:val="center"/>
        <w:rPr>
          <w:lang w:val="en-US"/>
        </w:rPr>
      </w:pPr>
      <w:r>
        <w:rPr>
          <w:b/>
          <w:bCs/>
          <w:lang w:val="en-US"/>
        </w:rPr>
        <w:t>Tab</w:t>
      </w:r>
      <w:r w:rsidR="00FF3124">
        <w:rPr>
          <w:b/>
          <w:bCs/>
          <w:lang w:val="en-US"/>
        </w:rPr>
        <w:t>le 5</w:t>
      </w:r>
      <w:r w:rsidRPr="00E022E1">
        <w:rPr>
          <w:lang w:val="en-US"/>
        </w:rPr>
        <w:t xml:space="preserve"> </w:t>
      </w:r>
      <w:r>
        <w:rPr>
          <w:lang w:val="en-US"/>
        </w:rPr>
        <w:t xml:space="preserve">NR </w:t>
      </w:r>
      <w:r w:rsidR="00FF3124">
        <w:rPr>
          <w:lang w:val="en-US"/>
        </w:rPr>
        <w:t>T</w:t>
      </w:r>
      <w:r>
        <w:rPr>
          <w:lang w:val="en-US"/>
        </w:rPr>
        <w:t>DD frequency range of FR1 (410 MHz – 7125</w:t>
      </w:r>
      <w:r w:rsidRPr="00E022E1">
        <w:rPr>
          <w:lang w:val="en-US"/>
        </w:rPr>
        <w:t xml:space="preserve"> MHz) </w:t>
      </w:r>
      <w:r>
        <w:rPr>
          <w:lang w:val="en-US"/>
        </w:rPr>
        <w:t>UL</w:t>
      </w:r>
      <w:r w:rsidRPr="00E022E1">
        <w:rPr>
          <w:lang w:val="en-US"/>
        </w:rPr>
        <w:t xml:space="preserve"> peak spectral efficiency (bit/s/Hz)</w:t>
      </w:r>
    </w:p>
    <w:p w14:paraId="6AA95117" w14:textId="38F5E347" w:rsidR="006C574A" w:rsidRDefault="006C574A" w:rsidP="00DD65B2">
      <w:pPr>
        <w:jc w:val="center"/>
        <w:rPr>
          <w:lang w:eastAsia="zh-CN"/>
        </w:rPr>
      </w:pPr>
      <w:r>
        <w:rPr>
          <w:lang w:eastAsia="zh-CN"/>
        </w:rPr>
        <w:t xml:space="preserve">4-layer </w:t>
      </w:r>
      <w:r w:rsidR="00BB5BDE">
        <w:rPr>
          <w:lang w:eastAsia="zh-CN"/>
        </w:rPr>
        <w:t>uplink</w:t>
      </w:r>
      <w:r>
        <w:rPr>
          <w:lang w:eastAsia="zh-CN"/>
        </w:rPr>
        <w:t xml:space="preserve"> transmission, with 256QAM modulation, and a maximum coding rate of 0.9258</w:t>
      </w:r>
      <w:r w:rsidR="00FF3124">
        <w:rPr>
          <w:lang w:eastAsia="zh-CN"/>
        </w:rPr>
        <w:t>, DL/UL 4:1</w:t>
      </w:r>
    </w:p>
    <w:p w14:paraId="36A9434E" w14:textId="77777777" w:rsidR="00B82664" w:rsidRDefault="00B82664" w:rsidP="00DD65B2">
      <w:pPr>
        <w:jc w:val="center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6C574A" w14:paraId="00428F78" w14:textId="77777777" w:rsidTr="00DD65B2">
        <w:trPr>
          <w:trHeight w:val="460"/>
        </w:trPr>
        <w:tc>
          <w:tcPr>
            <w:tcW w:w="948" w:type="dxa"/>
            <w:vAlign w:val="center"/>
          </w:tcPr>
          <w:p w14:paraId="7C98CD0C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0CFF4291" w14:textId="77777777" w:rsidR="006C574A" w:rsidRPr="00AA61CF" w:rsidRDefault="006C574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</w:p>
          <w:p w14:paraId="37A97C3C" w14:textId="77777777" w:rsidR="006C574A" w:rsidRPr="00AA61CF" w:rsidRDefault="006C574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7C0FCF2D" w14:textId="77777777" w:rsidR="006C574A" w:rsidRPr="00AA61CF" w:rsidRDefault="006C574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</w:p>
          <w:p w14:paraId="058BF932" w14:textId="77777777" w:rsidR="006C574A" w:rsidRPr="00AA61CF" w:rsidRDefault="006C574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65E3B2C7" w14:textId="77777777" w:rsidR="006C574A" w:rsidRPr="00AA61CF" w:rsidRDefault="006C574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15</w:t>
            </w:r>
          </w:p>
          <w:p w14:paraId="6B4E5E4C" w14:textId="77777777" w:rsidR="006C574A" w:rsidRPr="00AA61CF" w:rsidRDefault="006C574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388479ED" w14:textId="77777777" w:rsidR="006C574A" w:rsidRPr="00AA61CF" w:rsidRDefault="006C574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</w:t>
            </w:r>
          </w:p>
          <w:p w14:paraId="4D465DBA" w14:textId="77777777" w:rsidR="006C574A" w:rsidRPr="00AA61CF" w:rsidRDefault="006C574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1F86803D" w14:textId="77777777" w:rsidR="006C574A" w:rsidRPr="00AA61CF" w:rsidRDefault="006C574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25</w:t>
            </w:r>
          </w:p>
          <w:p w14:paraId="05F26B92" w14:textId="77777777" w:rsidR="006C574A" w:rsidRPr="00AA61CF" w:rsidRDefault="006C574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4015777C" w14:textId="77777777" w:rsidR="006C574A" w:rsidRPr="00AA61CF" w:rsidRDefault="006C574A" w:rsidP="00DD65B2">
            <w:pPr>
              <w:jc w:val="center"/>
              <w:rPr>
                <w:rFonts w:eastAsia="Yu Mincho"/>
                <w:sz w:val="16"/>
              </w:rPr>
            </w:pPr>
            <w:r w:rsidRPr="00AA61CF">
              <w:rPr>
                <w:rFonts w:eastAsia="Yu Mincho"/>
                <w:sz w:val="16"/>
              </w:rPr>
              <w:t>30</w:t>
            </w:r>
          </w:p>
          <w:p w14:paraId="1295B9C6" w14:textId="77777777" w:rsidR="006C574A" w:rsidRPr="00AA61CF" w:rsidRDefault="006C574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15049FB9" w14:textId="77777777" w:rsidR="006C574A" w:rsidRPr="00AA61CF" w:rsidRDefault="006C574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</w:t>
            </w:r>
          </w:p>
          <w:p w14:paraId="6D7037EC" w14:textId="77777777" w:rsidR="006C574A" w:rsidRPr="00AA61CF" w:rsidRDefault="006C574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51E5006" w14:textId="77777777" w:rsidR="006C574A" w:rsidRPr="00AA61CF" w:rsidRDefault="006C574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50</w:t>
            </w:r>
          </w:p>
          <w:p w14:paraId="76F0B03F" w14:textId="77777777" w:rsidR="006C574A" w:rsidRPr="00AA61CF" w:rsidRDefault="006C574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AA65853" w14:textId="77777777" w:rsidR="006C574A" w:rsidRPr="00AA61CF" w:rsidRDefault="006C574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60</w:t>
            </w:r>
          </w:p>
          <w:p w14:paraId="2A97304F" w14:textId="77777777" w:rsidR="006C574A" w:rsidRPr="00AA61CF" w:rsidRDefault="006C574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5251D78" w14:textId="77777777" w:rsidR="006C574A" w:rsidRPr="00AA61CF" w:rsidRDefault="006C574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80</w:t>
            </w:r>
          </w:p>
          <w:p w14:paraId="7BE8451B" w14:textId="77777777" w:rsidR="006C574A" w:rsidRPr="00AA61CF" w:rsidRDefault="006C574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18B005B6" w14:textId="77777777" w:rsidR="006C574A" w:rsidRPr="00AA61CF" w:rsidRDefault="006C574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90</w:t>
            </w:r>
          </w:p>
          <w:p w14:paraId="33D7D5FC" w14:textId="77777777" w:rsidR="006C574A" w:rsidRPr="00AA61CF" w:rsidRDefault="006C574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7A38E73B" w14:textId="77777777" w:rsidR="006C574A" w:rsidRPr="00AA61CF" w:rsidRDefault="006C574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100</w:t>
            </w:r>
          </w:p>
          <w:p w14:paraId="740BB598" w14:textId="77777777" w:rsidR="006C574A" w:rsidRPr="00AA61CF" w:rsidRDefault="006C574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6C574A" w14:paraId="7D8D96FD" w14:textId="77777777" w:rsidTr="00DD65B2">
        <w:trPr>
          <w:trHeight w:val="460"/>
        </w:trPr>
        <w:tc>
          <w:tcPr>
            <w:tcW w:w="948" w:type="dxa"/>
            <w:vAlign w:val="center"/>
          </w:tcPr>
          <w:p w14:paraId="14869CD4" w14:textId="77777777" w:rsidR="006C574A" w:rsidRPr="00AA61CF" w:rsidRDefault="006C574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15</w:t>
            </w:r>
          </w:p>
        </w:tc>
        <w:tc>
          <w:tcPr>
            <w:tcW w:w="701" w:type="dxa"/>
            <w:vAlign w:val="center"/>
          </w:tcPr>
          <w:p w14:paraId="0B3B2745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22.89</w:t>
            </w:r>
          </w:p>
        </w:tc>
        <w:tc>
          <w:tcPr>
            <w:tcW w:w="701" w:type="dxa"/>
            <w:vAlign w:val="center"/>
          </w:tcPr>
          <w:p w14:paraId="775E3106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23.81</w:t>
            </w:r>
          </w:p>
        </w:tc>
        <w:tc>
          <w:tcPr>
            <w:tcW w:w="700" w:type="dxa"/>
            <w:vAlign w:val="center"/>
          </w:tcPr>
          <w:p w14:paraId="738BB6F5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24.11</w:t>
            </w:r>
          </w:p>
        </w:tc>
        <w:tc>
          <w:tcPr>
            <w:tcW w:w="700" w:type="dxa"/>
            <w:vAlign w:val="center"/>
          </w:tcPr>
          <w:p w14:paraId="51F6CA1E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24.27</w:t>
            </w:r>
          </w:p>
        </w:tc>
        <w:tc>
          <w:tcPr>
            <w:tcW w:w="700" w:type="dxa"/>
            <w:vAlign w:val="center"/>
          </w:tcPr>
          <w:p w14:paraId="03B4B725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24.36</w:t>
            </w:r>
          </w:p>
        </w:tc>
        <w:tc>
          <w:tcPr>
            <w:tcW w:w="700" w:type="dxa"/>
            <w:vAlign w:val="center"/>
          </w:tcPr>
          <w:p w14:paraId="46E2BC8A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24.42</w:t>
            </w:r>
          </w:p>
        </w:tc>
        <w:tc>
          <w:tcPr>
            <w:tcW w:w="700" w:type="dxa"/>
            <w:vAlign w:val="center"/>
          </w:tcPr>
          <w:p w14:paraId="0367D985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24.72</w:t>
            </w:r>
          </w:p>
        </w:tc>
        <w:tc>
          <w:tcPr>
            <w:tcW w:w="700" w:type="dxa"/>
            <w:vAlign w:val="center"/>
          </w:tcPr>
          <w:p w14:paraId="42107F8F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24.72</w:t>
            </w:r>
          </w:p>
        </w:tc>
        <w:tc>
          <w:tcPr>
            <w:tcW w:w="700" w:type="dxa"/>
            <w:vAlign w:val="center"/>
          </w:tcPr>
          <w:p w14:paraId="0DFA6C4A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  <w:vAlign w:val="center"/>
          </w:tcPr>
          <w:p w14:paraId="5B191678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  <w:vAlign w:val="center"/>
          </w:tcPr>
          <w:p w14:paraId="6C7FCD49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  <w:vAlign w:val="center"/>
          </w:tcPr>
          <w:p w14:paraId="7DF36599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6C574A" w14:paraId="17970DF6" w14:textId="77777777" w:rsidTr="00DD65B2">
        <w:trPr>
          <w:trHeight w:val="460"/>
        </w:trPr>
        <w:tc>
          <w:tcPr>
            <w:tcW w:w="948" w:type="dxa"/>
            <w:vAlign w:val="center"/>
          </w:tcPr>
          <w:p w14:paraId="3BE66437" w14:textId="77777777" w:rsidR="006C574A" w:rsidRPr="00AA61CF" w:rsidRDefault="006C574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30</w:t>
            </w:r>
          </w:p>
        </w:tc>
        <w:tc>
          <w:tcPr>
            <w:tcW w:w="701" w:type="dxa"/>
            <w:vAlign w:val="center"/>
          </w:tcPr>
          <w:p w14:paraId="109F7903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20.14</w:t>
            </w:r>
          </w:p>
        </w:tc>
        <w:tc>
          <w:tcPr>
            <w:tcW w:w="701" w:type="dxa"/>
            <w:vAlign w:val="center"/>
          </w:tcPr>
          <w:p w14:paraId="50F21233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21.98</w:t>
            </w:r>
          </w:p>
        </w:tc>
        <w:tc>
          <w:tcPr>
            <w:tcW w:w="700" w:type="dxa"/>
            <w:vAlign w:val="center"/>
          </w:tcPr>
          <w:p w14:paraId="71B10B83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23.20</w:t>
            </w:r>
          </w:p>
        </w:tc>
        <w:tc>
          <w:tcPr>
            <w:tcW w:w="700" w:type="dxa"/>
            <w:vAlign w:val="center"/>
          </w:tcPr>
          <w:p w14:paraId="30138A64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23.35</w:t>
            </w:r>
          </w:p>
        </w:tc>
        <w:tc>
          <w:tcPr>
            <w:tcW w:w="700" w:type="dxa"/>
            <w:vAlign w:val="center"/>
          </w:tcPr>
          <w:p w14:paraId="78B0E415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23.81</w:t>
            </w:r>
          </w:p>
        </w:tc>
        <w:tc>
          <w:tcPr>
            <w:tcW w:w="700" w:type="dxa"/>
            <w:vAlign w:val="center"/>
          </w:tcPr>
          <w:p w14:paraId="352AFDF4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23.81</w:t>
            </w:r>
          </w:p>
        </w:tc>
        <w:tc>
          <w:tcPr>
            <w:tcW w:w="700" w:type="dxa"/>
            <w:vAlign w:val="center"/>
          </w:tcPr>
          <w:p w14:paraId="4D5D4B16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24.27</w:t>
            </w:r>
          </w:p>
        </w:tc>
        <w:tc>
          <w:tcPr>
            <w:tcW w:w="700" w:type="dxa"/>
            <w:vAlign w:val="center"/>
          </w:tcPr>
          <w:p w14:paraId="0F1675D8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24.36</w:t>
            </w:r>
          </w:p>
        </w:tc>
        <w:tc>
          <w:tcPr>
            <w:tcW w:w="700" w:type="dxa"/>
            <w:vAlign w:val="center"/>
          </w:tcPr>
          <w:p w14:paraId="6BB393B1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24.72</w:t>
            </w:r>
          </w:p>
        </w:tc>
        <w:tc>
          <w:tcPr>
            <w:tcW w:w="700" w:type="dxa"/>
            <w:vAlign w:val="center"/>
          </w:tcPr>
          <w:p w14:paraId="6335DE4A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24.84</w:t>
            </w:r>
          </w:p>
        </w:tc>
        <w:tc>
          <w:tcPr>
            <w:tcW w:w="700" w:type="dxa"/>
            <w:vAlign w:val="center"/>
          </w:tcPr>
          <w:p w14:paraId="249DB9CA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24.93</w:t>
            </w:r>
          </w:p>
        </w:tc>
        <w:tc>
          <w:tcPr>
            <w:tcW w:w="700" w:type="dxa"/>
            <w:vAlign w:val="center"/>
          </w:tcPr>
          <w:p w14:paraId="51ED4C5B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25.00</w:t>
            </w:r>
          </w:p>
        </w:tc>
      </w:tr>
      <w:tr w:rsidR="006C574A" w14:paraId="73161632" w14:textId="77777777" w:rsidTr="00DD65B2">
        <w:trPr>
          <w:trHeight w:val="460"/>
        </w:trPr>
        <w:tc>
          <w:tcPr>
            <w:tcW w:w="948" w:type="dxa"/>
            <w:vAlign w:val="center"/>
          </w:tcPr>
          <w:p w14:paraId="18FF541C" w14:textId="77777777" w:rsidR="006C574A" w:rsidRPr="00AA61CF" w:rsidRDefault="006C574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  <w:vAlign w:val="center"/>
          </w:tcPr>
          <w:p w14:paraId="164A836D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1" w:type="dxa"/>
            <w:vAlign w:val="center"/>
          </w:tcPr>
          <w:p w14:paraId="43A0AA7D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20.15</w:t>
            </w:r>
          </w:p>
        </w:tc>
        <w:tc>
          <w:tcPr>
            <w:tcW w:w="700" w:type="dxa"/>
            <w:vAlign w:val="center"/>
          </w:tcPr>
          <w:p w14:paraId="05B9589A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21.98</w:t>
            </w:r>
          </w:p>
        </w:tc>
        <w:tc>
          <w:tcPr>
            <w:tcW w:w="700" w:type="dxa"/>
            <w:vAlign w:val="center"/>
          </w:tcPr>
          <w:p w14:paraId="3288C198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21.98</w:t>
            </w:r>
          </w:p>
        </w:tc>
        <w:tc>
          <w:tcPr>
            <w:tcW w:w="700" w:type="dxa"/>
            <w:vAlign w:val="center"/>
          </w:tcPr>
          <w:p w14:paraId="4377C028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22.71</w:t>
            </w:r>
          </w:p>
        </w:tc>
        <w:tc>
          <w:tcPr>
            <w:tcW w:w="700" w:type="dxa"/>
            <w:vAlign w:val="center"/>
          </w:tcPr>
          <w:p w14:paraId="64139380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23.20</w:t>
            </w:r>
          </w:p>
        </w:tc>
        <w:tc>
          <w:tcPr>
            <w:tcW w:w="700" w:type="dxa"/>
            <w:vAlign w:val="center"/>
          </w:tcPr>
          <w:p w14:paraId="5E0E6E97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23.35</w:t>
            </w:r>
          </w:p>
        </w:tc>
        <w:tc>
          <w:tcPr>
            <w:tcW w:w="700" w:type="dxa"/>
            <w:vAlign w:val="center"/>
          </w:tcPr>
          <w:p w14:paraId="6AB56F91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23.81</w:t>
            </w:r>
          </w:p>
        </w:tc>
        <w:tc>
          <w:tcPr>
            <w:tcW w:w="700" w:type="dxa"/>
            <w:vAlign w:val="center"/>
          </w:tcPr>
          <w:p w14:paraId="4D861046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24.11</w:t>
            </w:r>
          </w:p>
        </w:tc>
        <w:tc>
          <w:tcPr>
            <w:tcW w:w="700" w:type="dxa"/>
            <w:vAlign w:val="center"/>
          </w:tcPr>
          <w:p w14:paraId="2B2B3E46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24.50</w:t>
            </w:r>
          </w:p>
        </w:tc>
        <w:tc>
          <w:tcPr>
            <w:tcW w:w="700" w:type="dxa"/>
            <w:vAlign w:val="center"/>
          </w:tcPr>
          <w:p w14:paraId="3500CC09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24.62</w:t>
            </w:r>
          </w:p>
        </w:tc>
        <w:tc>
          <w:tcPr>
            <w:tcW w:w="700" w:type="dxa"/>
            <w:vAlign w:val="center"/>
          </w:tcPr>
          <w:p w14:paraId="7AA04F7B" w14:textId="77777777" w:rsidR="006C574A" w:rsidRDefault="006C574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24.72</w:t>
            </w:r>
          </w:p>
        </w:tc>
      </w:tr>
    </w:tbl>
    <w:p w14:paraId="14BAB1AC" w14:textId="37CF3B7F" w:rsidR="006C574A" w:rsidRDefault="006C574A" w:rsidP="00DD65B2">
      <w:pPr>
        <w:rPr>
          <w:lang w:val="en-US"/>
        </w:rPr>
      </w:pPr>
    </w:p>
    <w:p w14:paraId="05AB016B" w14:textId="1818D2E7" w:rsidR="0012057B" w:rsidRDefault="0012057B" w:rsidP="00DD65B2">
      <w:pPr>
        <w:rPr>
          <w:lang w:val="en-US"/>
        </w:rPr>
      </w:pPr>
      <w:r>
        <w:rPr>
          <w:lang w:val="en-US"/>
        </w:rPr>
        <w:t>For NR TDD frequency range of FR2 (24250 MHz – 52600</w:t>
      </w:r>
      <w:r w:rsidRPr="00017802">
        <w:rPr>
          <w:lang w:val="en-US"/>
        </w:rPr>
        <w:t xml:space="preserve"> MHz</w:t>
      </w:r>
      <w:r>
        <w:rPr>
          <w:lang w:val="en-US"/>
        </w:rPr>
        <w:t>)</w:t>
      </w:r>
      <w:r w:rsidR="00DD65B2">
        <w:rPr>
          <w:lang w:val="en-US"/>
        </w:rPr>
        <w:t>,</w:t>
      </w:r>
      <w:r>
        <w:rPr>
          <w:lang w:val="en-US"/>
        </w:rPr>
        <w:t xml:space="preserve"> UL </w:t>
      </w:r>
      <w:r w:rsidR="005877FD">
        <w:rPr>
          <w:lang w:val="en-US"/>
        </w:rPr>
        <w:t>and DL peak spectral efficiencies are</w:t>
      </w:r>
      <w:r>
        <w:rPr>
          <w:lang w:val="en-US"/>
        </w:rPr>
        <w:t xml:space="preserve"> cal</w:t>
      </w:r>
      <w:r w:rsidR="005877FD">
        <w:rPr>
          <w:lang w:val="en-US"/>
        </w:rPr>
        <w:t>culated and presented in Table 6 and 7, respectively</w:t>
      </w:r>
      <w:r w:rsidRPr="00017802">
        <w:rPr>
          <w:lang w:val="en-US"/>
        </w:rPr>
        <w:t xml:space="preserve">. </w:t>
      </w:r>
      <w:r w:rsidR="0050138B">
        <w:rPr>
          <w:lang w:val="en-US"/>
        </w:rPr>
        <w:t>In TDD</w:t>
      </w:r>
      <w:r w:rsidR="00DD65B2">
        <w:rPr>
          <w:lang w:val="en-US"/>
        </w:rPr>
        <w:t xml:space="preserve"> mode</w:t>
      </w:r>
      <w:r w:rsidR="0050138B">
        <w:rPr>
          <w:lang w:val="en-US"/>
        </w:rPr>
        <w:t xml:space="preserve">, </w:t>
      </w:r>
      <w:r w:rsidR="0050138B" w:rsidRPr="00400AB7">
        <w:rPr>
          <w:lang w:val="en-US"/>
        </w:rPr>
        <w:t xml:space="preserve">effective bandwidth, which is the operating bandwidth normalized </w:t>
      </w:r>
      <w:r w:rsidR="00DD65B2">
        <w:rPr>
          <w:lang w:val="en-US"/>
        </w:rPr>
        <w:t>by</w:t>
      </w:r>
      <w:r w:rsidR="0050138B" w:rsidRPr="00400AB7">
        <w:rPr>
          <w:lang w:val="en-US"/>
        </w:rPr>
        <w:t xml:space="preserve"> the uplink/downlink </w:t>
      </w:r>
      <w:r w:rsidR="00DD65B2">
        <w:rPr>
          <w:lang w:val="en-US"/>
        </w:rPr>
        <w:t xml:space="preserve">duty cycle </w:t>
      </w:r>
      <w:r w:rsidR="0050138B" w:rsidRPr="00400AB7">
        <w:rPr>
          <w:lang w:val="en-US"/>
        </w:rPr>
        <w:t>ratio</w:t>
      </w:r>
      <w:r w:rsidR="0050138B">
        <w:rPr>
          <w:lang w:val="en-US"/>
        </w:rPr>
        <w:t xml:space="preserve">, needs to be considered. </w:t>
      </w:r>
      <w:r w:rsidR="00DD65B2">
        <w:rPr>
          <w:lang w:val="en-US"/>
        </w:rPr>
        <w:t>Again, t</w:t>
      </w:r>
      <w:r w:rsidRPr="00017802">
        <w:rPr>
          <w:lang w:val="en-US"/>
        </w:rPr>
        <w:t xml:space="preserve">he detailed assumptions </w:t>
      </w:r>
      <w:r>
        <w:rPr>
          <w:lang w:val="en-US"/>
        </w:rPr>
        <w:t xml:space="preserve">are presented in Table 1. </w:t>
      </w:r>
      <w:r w:rsidRPr="006C574A">
        <w:rPr>
          <w:lang w:val="en-US"/>
        </w:rPr>
        <w:t xml:space="preserve">The DL/UL </w:t>
      </w:r>
      <w:r>
        <w:rPr>
          <w:lang w:val="en-US"/>
        </w:rPr>
        <w:t>ratio of 4:1 is</w:t>
      </w:r>
      <w:r w:rsidRPr="006C574A">
        <w:rPr>
          <w:lang w:val="en-US"/>
        </w:rPr>
        <w:t xml:space="preserve"> evaluated.</w:t>
      </w:r>
    </w:p>
    <w:p w14:paraId="2A2C8DBF" w14:textId="77777777" w:rsidR="00B82664" w:rsidRDefault="00B82664" w:rsidP="00DD65B2">
      <w:pPr>
        <w:rPr>
          <w:lang w:val="en-US"/>
        </w:rPr>
      </w:pPr>
    </w:p>
    <w:p w14:paraId="32C62464" w14:textId="23AF7A8E" w:rsidR="0012057B" w:rsidRDefault="005877FD" w:rsidP="00DD65B2">
      <w:pPr>
        <w:jc w:val="center"/>
        <w:rPr>
          <w:lang w:val="en-US"/>
        </w:rPr>
      </w:pPr>
      <w:r>
        <w:rPr>
          <w:b/>
          <w:bCs/>
          <w:lang w:val="en-US"/>
        </w:rPr>
        <w:t>Table 6</w:t>
      </w:r>
      <w:r w:rsidR="0012057B" w:rsidRPr="00E022E1">
        <w:rPr>
          <w:lang w:val="en-US"/>
        </w:rPr>
        <w:t xml:space="preserve"> </w:t>
      </w:r>
      <w:r w:rsidR="0012057B">
        <w:rPr>
          <w:lang w:val="en-US"/>
        </w:rPr>
        <w:t>NR TDD frequency range of FR2 (24250 MHz – 52600</w:t>
      </w:r>
      <w:r w:rsidR="0012057B" w:rsidRPr="00017802">
        <w:rPr>
          <w:lang w:val="en-US"/>
        </w:rPr>
        <w:t xml:space="preserve"> MHz</w:t>
      </w:r>
      <w:r w:rsidR="0012057B" w:rsidRPr="00E022E1">
        <w:rPr>
          <w:lang w:val="en-US"/>
        </w:rPr>
        <w:t>) DL peak spectral efficiency (bit/s/Hz)</w:t>
      </w:r>
    </w:p>
    <w:p w14:paraId="766ED855" w14:textId="769CD22C" w:rsidR="0012057B" w:rsidRDefault="0012057B" w:rsidP="00DD65B2">
      <w:pPr>
        <w:jc w:val="center"/>
        <w:rPr>
          <w:lang w:eastAsia="zh-CN"/>
        </w:rPr>
      </w:pPr>
      <w:r>
        <w:rPr>
          <w:lang w:eastAsia="zh-CN"/>
        </w:rPr>
        <w:t>8-layer downlink transmission, with 256QAM modulation, and a maximum coding rate of 0.9258, DL/UL 4:1</w:t>
      </w:r>
    </w:p>
    <w:p w14:paraId="03ECDA0B" w14:textId="77777777" w:rsidR="00B82664" w:rsidRDefault="00B82664" w:rsidP="00DD65B2">
      <w:pPr>
        <w:jc w:val="center"/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</w:tblGrid>
      <w:tr w:rsidR="001F79A7" w14:paraId="76C44866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156E2413" w14:textId="77777777" w:rsidR="001F79A7" w:rsidRDefault="001F79A7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3D6AB5A8" w14:textId="427C5453" w:rsidR="001F79A7" w:rsidRPr="00AA61CF" w:rsidRDefault="001F79A7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41C7D62F" w14:textId="77777777" w:rsidR="001F79A7" w:rsidRPr="00AA61CF" w:rsidRDefault="001F79A7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2A708EFC" w14:textId="36BBDE2D" w:rsidR="001F79A7" w:rsidRPr="00AA61CF" w:rsidRDefault="001F79A7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3B2A1F15" w14:textId="77777777" w:rsidR="001F79A7" w:rsidRPr="00AA61CF" w:rsidRDefault="001F79A7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59F731AF" w14:textId="05FE64C6" w:rsidR="001F79A7" w:rsidRPr="00AA61CF" w:rsidRDefault="001F79A7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200</w:t>
            </w:r>
          </w:p>
          <w:p w14:paraId="7B39E43B" w14:textId="77777777" w:rsidR="001F79A7" w:rsidRPr="00AA61CF" w:rsidRDefault="001F79A7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76F5AD95" w14:textId="3DA5857F" w:rsidR="001F79A7" w:rsidRPr="00AA61CF" w:rsidRDefault="001F79A7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400</w:t>
            </w:r>
          </w:p>
          <w:p w14:paraId="4A111A99" w14:textId="77777777" w:rsidR="001F79A7" w:rsidRPr="00AA61CF" w:rsidRDefault="001F79A7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1F79A7" w14:paraId="0B0C86B1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631A7573" w14:textId="14822EC0" w:rsidR="001F79A7" w:rsidRPr="00AA61CF" w:rsidRDefault="001F79A7" w:rsidP="00DD65B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918BB7C" w14:textId="363C7692" w:rsidR="001F79A7" w:rsidRPr="00341F72" w:rsidRDefault="00341F72" w:rsidP="00DD65B2">
            <w:pPr>
              <w:jc w:val="center"/>
              <w:rPr>
                <w:lang w:val="en-US"/>
              </w:rPr>
            </w:pPr>
            <w:r w:rsidRPr="00341F72">
              <w:rPr>
                <w:lang w:val="en-US"/>
              </w:rPr>
              <w:t>43.20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4DD3D72" w14:textId="758AA25D" w:rsidR="001F79A7" w:rsidRPr="00341F72" w:rsidRDefault="00FD704E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45.20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68AF723" w14:textId="622908A9" w:rsidR="001F79A7" w:rsidRPr="00341F72" w:rsidRDefault="00FD704E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45.20</w:t>
            </w:r>
          </w:p>
        </w:tc>
        <w:tc>
          <w:tcPr>
            <w:tcW w:w="700" w:type="dxa"/>
            <w:vAlign w:val="center"/>
          </w:tcPr>
          <w:p w14:paraId="1C37C073" w14:textId="7D3523F6" w:rsidR="001F79A7" w:rsidRDefault="001F79A7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1F79A7" w14:paraId="316B37D9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7A97F1AA" w14:textId="5935E6E4" w:rsidR="001F79A7" w:rsidRPr="00AA61CF" w:rsidRDefault="001F79A7" w:rsidP="00DD65B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120</w:t>
            </w:r>
          </w:p>
        </w:tc>
        <w:tc>
          <w:tcPr>
            <w:tcW w:w="701" w:type="dxa"/>
            <w:vAlign w:val="center"/>
          </w:tcPr>
          <w:p w14:paraId="321EFDE5" w14:textId="6F18AD23" w:rsidR="001F79A7" w:rsidRDefault="00CB4577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43.83</w:t>
            </w:r>
          </w:p>
        </w:tc>
        <w:tc>
          <w:tcPr>
            <w:tcW w:w="701" w:type="dxa"/>
            <w:vAlign w:val="center"/>
          </w:tcPr>
          <w:p w14:paraId="69FF0CD6" w14:textId="3599D28D" w:rsidR="001F79A7" w:rsidRDefault="00CB4577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45.20</w:t>
            </w:r>
          </w:p>
        </w:tc>
        <w:tc>
          <w:tcPr>
            <w:tcW w:w="700" w:type="dxa"/>
            <w:vAlign w:val="center"/>
          </w:tcPr>
          <w:p w14:paraId="789C54FE" w14:textId="6131FD0F" w:rsidR="001F79A7" w:rsidRDefault="00CB4577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45.20</w:t>
            </w:r>
          </w:p>
        </w:tc>
        <w:tc>
          <w:tcPr>
            <w:tcW w:w="700" w:type="dxa"/>
            <w:vAlign w:val="center"/>
          </w:tcPr>
          <w:p w14:paraId="207579A7" w14:textId="149A1D79" w:rsidR="001F79A7" w:rsidRDefault="00CB4577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45.20</w:t>
            </w:r>
          </w:p>
        </w:tc>
      </w:tr>
    </w:tbl>
    <w:p w14:paraId="69AEB7E6" w14:textId="77777777" w:rsidR="00B82664" w:rsidRDefault="00B82664" w:rsidP="00DD65B2">
      <w:pPr>
        <w:rPr>
          <w:b/>
          <w:bCs/>
          <w:lang w:val="en-US"/>
        </w:rPr>
      </w:pPr>
    </w:p>
    <w:p w14:paraId="736B7EC5" w14:textId="057CA587" w:rsidR="005877FD" w:rsidRDefault="005877FD" w:rsidP="00DD65B2">
      <w:pPr>
        <w:jc w:val="center"/>
        <w:rPr>
          <w:lang w:val="en-US"/>
        </w:rPr>
      </w:pPr>
      <w:r>
        <w:rPr>
          <w:b/>
          <w:bCs/>
          <w:lang w:val="en-US"/>
        </w:rPr>
        <w:t>Table 7</w:t>
      </w:r>
      <w:r w:rsidRPr="00E022E1">
        <w:rPr>
          <w:lang w:val="en-US"/>
        </w:rPr>
        <w:t xml:space="preserve"> </w:t>
      </w:r>
      <w:r>
        <w:rPr>
          <w:lang w:val="en-US"/>
        </w:rPr>
        <w:t>NR TDD frequency range of FR2 (24250 MHz – 52600</w:t>
      </w:r>
      <w:r w:rsidRPr="00017802">
        <w:rPr>
          <w:lang w:val="en-US"/>
        </w:rPr>
        <w:t xml:space="preserve"> MHz</w:t>
      </w:r>
      <w:r>
        <w:rPr>
          <w:lang w:val="en-US"/>
        </w:rPr>
        <w:t>) UL</w:t>
      </w:r>
      <w:r w:rsidRPr="00E022E1">
        <w:rPr>
          <w:lang w:val="en-US"/>
        </w:rPr>
        <w:t xml:space="preserve"> peak spectral efficiency (bit/s/Hz)</w:t>
      </w:r>
    </w:p>
    <w:p w14:paraId="7DEB488B" w14:textId="5951A3CE" w:rsidR="005877FD" w:rsidRDefault="00BB5BDE" w:rsidP="00DD65B2">
      <w:pPr>
        <w:jc w:val="center"/>
        <w:rPr>
          <w:lang w:eastAsia="zh-CN"/>
        </w:rPr>
      </w:pPr>
      <w:r>
        <w:rPr>
          <w:lang w:eastAsia="zh-CN"/>
        </w:rPr>
        <w:t>4</w:t>
      </w:r>
      <w:r w:rsidR="005877FD">
        <w:rPr>
          <w:lang w:eastAsia="zh-CN"/>
        </w:rPr>
        <w:t xml:space="preserve">-layer </w:t>
      </w:r>
      <w:r>
        <w:rPr>
          <w:lang w:eastAsia="zh-CN"/>
        </w:rPr>
        <w:t>uplink</w:t>
      </w:r>
      <w:r w:rsidR="005877FD">
        <w:rPr>
          <w:lang w:eastAsia="zh-CN"/>
        </w:rPr>
        <w:t xml:space="preserve"> transmission, with 256QAM modulation, and a maximum coding rate of 0.9258, DL/UL 4:1</w:t>
      </w:r>
    </w:p>
    <w:p w14:paraId="6ED1EC29" w14:textId="77777777" w:rsidR="00B82664" w:rsidRDefault="00B82664" w:rsidP="00DD65B2">
      <w:pPr>
        <w:jc w:val="center"/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</w:tblGrid>
      <w:tr w:rsidR="005877FD" w14:paraId="2DC6502C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464AFBCD" w14:textId="77777777" w:rsidR="005877FD" w:rsidRDefault="005877FD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45AAB253" w14:textId="77777777" w:rsidR="005877FD" w:rsidRPr="00AA61CF" w:rsidRDefault="005877FD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4088059A" w14:textId="77777777" w:rsidR="005877FD" w:rsidRPr="00AA61CF" w:rsidRDefault="005877FD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3D4BAA8E" w14:textId="77777777" w:rsidR="005877FD" w:rsidRPr="00AA61CF" w:rsidRDefault="005877FD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1ADAD99D" w14:textId="77777777" w:rsidR="005877FD" w:rsidRPr="00AA61CF" w:rsidRDefault="005877FD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58DB0F36" w14:textId="77777777" w:rsidR="005877FD" w:rsidRPr="00AA61CF" w:rsidRDefault="005877FD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200</w:t>
            </w:r>
          </w:p>
          <w:p w14:paraId="66E366C7" w14:textId="77777777" w:rsidR="005877FD" w:rsidRPr="00AA61CF" w:rsidRDefault="005877FD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3CEACA2B" w14:textId="77777777" w:rsidR="005877FD" w:rsidRPr="00AA61CF" w:rsidRDefault="005877FD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400</w:t>
            </w:r>
          </w:p>
          <w:p w14:paraId="165AA05A" w14:textId="77777777" w:rsidR="005877FD" w:rsidRPr="00AA61CF" w:rsidRDefault="005877FD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5877FD" w14:paraId="7C309C8A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2BFE79A8" w14:textId="77777777" w:rsidR="005877FD" w:rsidRPr="00AA61CF" w:rsidRDefault="005877FD" w:rsidP="00DD65B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C8DFB6B" w14:textId="225FF580" w:rsidR="005877FD" w:rsidRPr="00FD704E" w:rsidRDefault="00FD704E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23.65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DF32C76" w14:textId="09784F77" w:rsidR="005877FD" w:rsidRPr="00FD704E" w:rsidRDefault="00FD704E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23.65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4FD76A0" w14:textId="3519535F" w:rsidR="005877FD" w:rsidRPr="00FD704E" w:rsidRDefault="00FD704E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23.65</w:t>
            </w:r>
          </w:p>
        </w:tc>
        <w:tc>
          <w:tcPr>
            <w:tcW w:w="700" w:type="dxa"/>
            <w:vAlign w:val="center"/>
          </w:tcPr>
          <w:p w14:paraId="0ABC7DBE" w14:textId="77777777" w:rsidR="005877FD" w:rsidRDefault="005877FD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5877FD" w14:paraId="2674808B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6FF25503" w14:textId="77777777" w:rsidR="005877FD" w:rsidRPr="00AA61CF" w:rsidRDefault="005877FD" w:rsidP="00DD65B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120</w:t>
            </w:r>
          </w:p>
        </w:tc>
        <w:tc>
          <w:tcPr>
            <w:tcW w:w="701" w:type="dxa"/>
            <w:vAlign w:val="center"/>
          </w:tcPr>
          <w:p w14:paraId="3EB45019" w14:textId="5CE1BD7D" w:rsidR="005877FD" w:rsidRDefault="00CB4577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22.93</w:t>
            </w:r>
          </w:p>
        </w:tc>
        <w:tc>
          <w:tcPr>
            <w:tcW w:w="701" w:type="dxa"/>
            <w:vAlign w:val="center"/>
          </w:tcPr>
          <w:p w14:paraId="26719A3D" w14:textId="12AA0596" w:rsidR="005877FD" w:rsidRDefault="00CB4577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23.65</w:t>
            </w:r>
          </w:p>
        </w:tc>
        <w:tc>
          <w:tcPr>
            <w:tcW w:w="700" w:type="dxa"/>
            <w:vAlign w:val="center"/>
          </w:tcPr>
          <w:p w14:paraId="6F36D0C0" w14:textId="5DD8A620" w:rsidR="005877FD" w:rsidRDefault="00CB4577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23.65</w:t>
            </w:r>
          </w:p>
        </w:tc>
        <w:tc>
          <w:tcPr>
            <w:tcW w:w="700" w:type="dxa"/>
            <w:vAlign w:val="center"/>
          </w:tcPr>
          <w:p w14:paraId="24F3579A" w14:textId="2E4C1F95" w:rsidR="005877FD" w:rsidRDefault="00FD704E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23.65</w:t>
            </w:r>
          </w:p>
        </w:tc>
      </w:tr>
    </w:tbl>
    <w:p w14:paraId="213376C7" w14:textId="77777777" w:rsidR="00D91349" w:rsidRDefault="00D91349" w:rsidP="00DD65B2">
      <w:pPr>
        <w:rPr>
          <w:lang w:val="en-US"/>
        </w:rPr>
      </w:pPr>
    </w:p>
    <w:p w14:paraId="7CAEF3FA" w14:textId="2441D44E" w:rsidR="00D91349" w:rsidRDefault="00D91349" w:rsidP="00DD65B2">
      <w:pPr>
        <w:rPr>
          <w:lang w:val="en-US"/>
        </w:rPr>
      </w:pPr>
      <w:r>
        <w:rPr>
          <w:lang w:val="en-US"/>
        </w:rPr>
        <w:t xml:space="preserve">Similar tables for the FR2 range can be calculated assuming a lower modulation order of 64 QAM. </w:t>
      </w:r>
    </w:p>
    <w:p w14:paraId="672C1D7C" w14:textId="77777777" w:rsidR="00B82664" w:rsidRDefault="00B82664" w:rsidP="00DD65B2">
      <w:pPr>
        <w:rPr>
          <w:lang w:val="en-US"/>
        </w:rPr>
      </w:pPr>
    </w:p>
    <w:p w14:paraId="1C4CEE10" w14:textId="269D8EBB" w:rsidR="00D91349" w:rsidRDefault="00D91349" w:rsidP="00DD65B2">
      <w:pPr>
        <w:jc w:val="center"/>
        <w:rPr>
          <w:lang w:val="en-US"/>
        </w:rPr>
      </w:pPr>
      <w:r>
        <w:rPr>
          <w:b/>
          <w:bCs/>
          <w:lang w:val="en-US"/>
        </w:rPr>
        <w:t>Table 8</w:t>
      </w:r>
      <w:r w:rsidRPr="00E022E1">
        <w:rPr>
          <w:lang w:val="en-US"/>
        </w:rPr>
        <w:t xml:space="preserve"> </w:t>
      </w:r>
      <w:r>
        <w:rPr>
          <w:lang w:val="en-US"/>
        </w:rPr>
        <w:t>NR TDD frequency range of FR2 (24250 MHz – 52600</w:t>
      </w:r>
      <w:r w:rsidRPr="00017802">
        <w:rPr>
          <w:lang w:val="en-US"/>
        </w:rPr>
        <w:t xml:space="preserve"> MHz</w:t>
      </w:r>
      <w:r w:rsidRPr="00E022E1">
        <w:rPr>
          <w:lang w:val="en-US"/>
        </w:rPr>
        <w:t>) DL peak spectral efficiency (bit/s/Hz)</w:t>
      </w:r>
    </w:p>
    <w:p w14:paraId="4E55A132" w14:textId="44066E4D" w:rsidR="00D91349" w:rsidRDefault="00D91349" w:rsidP="00DD65B2">
      <w:pPr>
        <w:jc w:val="center"/>
        <w:rPr>
          <w:lang w:eastAsia="zh-CN"/>
        </w:rPr>
      </w:pPr>
      <w:r>
        <w:rPr>
          <w:lang w:eastAsia="zh-CN"/>
        </w:rPr>
        <w:t>8-layer downlink transmission, with 64QAM modulation, and a maximum coding rate of 0.9258, DL/UL 4:1</w:t>
      </w:r>
    </w:p>
    <w:p w14:paraId="22741556" w14:textId="77777777" w:rsidR="00B82664" w:rsidRDefault="00B82664" w:rsidP="00DD65B2">
      <w:pPr>
        <w:jc w:val="center"/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</w:tblGrid>
      <w:tr w:rsidR="00D91349" w14:paraId="479E66A8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4615DCA5" w14:textId="77777777" w:rsidR="00D91349" w:rsidRDefault="00D91349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4FBE8BD8" w14:textId="77777777" w:rsidR="00D91349" w:rsidRPr="00AA61CF" w:rsidRDefault="00D91349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5C07B881" w14:textId="77777777" w:rsidR="00D91349" w:rsidRPr="00AA61CF" w:rsidRDefault="00D91349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2F3E214E" w14:textId="77777777" w:rsidR="00D91349" w:rsidRPr="00AA61CF" w:rsidRDefault="00D91349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7D906B26" w14:textId="77777777" w:rsidR="00D91349" w:rsidRPr="00AA61CF" w:rsidRDefault="00D91349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286B8B64" w14:textId="77777777" w:rsidR="00D91349" w:rsidRPr="00AA61CF" w:rsidRDefault="00D91349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200</w:t>
            </w:r>
          </w:p>
          <w:p w14:paraId="40CF3519" w14:textId="77777777" w:rsidR="00D91349" w:rsidRPr="00AA61CF" w:rsidRDefault="00D91349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6834DBA4" w14:textId="77777777" w:rsidR="00D91349" w:rsidRPr="00AA61CF" w:rsidRDefault="00D91349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400</w:t>
            </w:r>
          </w:p>
          <w:p w14:paraId="4EDB216E" w14:textId="77777777" w:rsidR="00D91349" w:rsidRPr="00AA61CF" w:rsidRDefault="00D91349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D91349" w14:paraId="168B9733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22D511E0" w14:textId="77777777" w:rsidR="00D91349" w:rsidRPr="00AA61CF" w:rsidRDefault="00D91349" w:rsidP="00DD65B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31B85DB" w14:textId="06179694" w:rsidR="00D91349" w:rsidRPr="00341F72" w:rsidRDefault="00D91349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32.4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1EB0757" w14:textId="418A1243" w:rsidR="00D91349" w:rsidRPr="00341F72" w:rsidRDefault="00D91349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33.9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08553D9" w14:textId="2C58DC17" w:rsidR="00D91349" w:rsidRPr="00341F72" w:rsidRDefault="00D91349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33.9</w:t>
            </w:r>
          </w:p>
        </w:tc>
        <w:tc>
          <w:tcPr>
            <w:tcW w:w="700" w:type="dxa"/>
            <w:vAlign w:val="center"/>
          </w:tcPr>
          <w:p w14:paraId="35EE6AFF" w14:textId="6853CC0C" w:rsidR="00D91349" w:rsidRDefault="00D91349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n/a</w:t>
            </w:r>
          </w:p>
        </w:tc>
      </w:tr>
      <w:tr w:rsidR="00D91349" w14:paraId="61F4BFE4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04343BD9" w14:textId="77777777" w:rsidR="00D91349" w:rsidRPr="00AA61CF" w:rsidRDefault="00D91349" w:rsidP="00DD65B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120</w:t>
            </w:r>
          </w:p>
        </w:tc>
        <w:tc>
          <w:tcPr>
            <w:tcW w:w="701" w:type="dxa"/>
            <w:vAlign w:val="center"/>
          </w:tcPr>
          <w:p w14:paraId="62E8AFC6" w14:textId="17D3ABCE" w:rsidR="00D91349" w:rsidRDefault="00D91349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32.9</w:t>
            </w:r>
          </w:p>
        </w:tc>
        <w:tc>
          <w:tcPr>
            <w:tcW w:w="701" w:type="dxa"/>
            <w:vAlign w:val="center"/>
          </w:tcPr>
          <w:p w14:paraId="13AC24C3" w14:textId="02F7857F" w:rsidR="00D91349" w:rsidRDefault="00D91349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33.9</w:t>
            </w:r>
          </w:p>
        </w:tc>
        <w:tc>
          <w:tcPr>
            <w:tcW w:w="700" w:type="dxa"/>
            <w:vAlign w:val="center"/>
          </w:tcPr>
          <w:p w14:paraId="4E0AFA8C" w14:textId="7527150A" w:rsidR="00D91349" w:rsidRDefault="00D91349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33.9</w:t>
            </w:r>
          </w:p>
        </w:tc>
        <w:tc>
          <w:tcPr>
            <w:tcW w:w="700" w:type="dxa"/>
            <w:vAlign w:val="center"/>
          </w:tcPr>
          <w:p w14:paraId="163A9F0F" w14:textId="144B2838" w:rsidR="00D91349" w:rsidRDefault="00D91349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33.9</w:t>
            </w:r>
          </w:p>
        </w:tc>
      </w:tr>
    </w:tbl>
    <w:p w14:paraId="5A633E4F" w14:textId="77777777" w:rsidR="00B82664" w:rsidRDefault="00B82664" w:rsidP="00DD65B2">
      <w:pPr>
        <w:rPr>
          <w:b/>
          <w:bCs/>
          <w:lang w:val="en-US"/>
        </w:rPr>
      </w:pPr>
    </w:p>
    <w:p w14:paraId="05726593" w14:textId="1DC3A465" w:rsidR="00D91349" w:rsidRDefault="00D91349" w:rsidP="00DD65B2">
      <w:pPr>
        <w:jc w:val="center"/>
        <w:rPr>
          <w:lang w:val="en-US"/>
        </w:rPr>
      </w:pPr>
      <w:r>
        <w:rPr>
          <w:b/>
          <w:bCs/>
          <w:lang w:val="en-US"/>
        </w:rPr>
        <w:t>Table 9</w:t>
      </w:r>
      <w:r w:rsidRPr="00E022E1">
        <w:rPr>
          <w:lang w:val="en-US"/>
        </w:rPr>
        <w:t xml:space="preserve"> </w:t>
      </w:r>
      <w:r>
        <w:rPr>
          <w:lang w:val="en-US"/>
        </w:rPr>
        <w:t>NR TDD frequency range of FR2 (24250 MHz – 52600</w:t>
      </w:r>
      <w:r w:rsidRPr="00017802">
        <w:rPr>
          <w:lang w:val="en-US"/>
        </w:rPr>
        <w:t xml:space="preserve"> MHz</w:t>
      </w:r>
      <w:r>
        <w:rPr>
          <w:lang w:val="en-US"/>
        </w:rPr>
        <w:t>) UL</w:t>
      </w:r>
      <w:r w:rsidRPr="00E022E1">
        <w:rPr>
          <w:lang w:val="en-US"/>
        </w:rPr>
        <w:t xml:space="preserve"> peak spectral efficiency (bit/s/Hz)</w:t>
      </w:r>
    </w:p>
    <w:p w14:paraId="10AF606B" w14:textId="4C91CB82" w:rsidR="00D91349" w:rsidRDefault="00D91349" w:rsidP="00DD65B2">
      <w:pPr>
        <w:jc w:val="center"/>
        <w:rPr>
          <w:lang w:eastAsia="zh-CN"/>
        </w:rPr>
      </w:pPr>
      <w:r>
        <w:rPr>
          <w:lang w:eastAsia="zh-CN"/>
        </w:rPr>
        <w:t>4-layer uplink transmission, with 64QAM modulation, and a maximum coding rate of 0.9258, DL/UL 4:1</w:t>
      </w:r>
    </w:p>
    <w:p w14:paraId="2C5A5423" w14:textId="77777777" w:rsidR="00B82664" w:rsidRDefault="00B82664" w:rsidP="00DD65B2">
      <w:pPr>
        <w:jc w:val="center"/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</w:tblGrid>
      <w:tr w:rsidR="00D91349" w14:paraId="29FC8B35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33129C33" w14:textId="77777777" w:rsidR="00D91349" w:rsidRDefault="00D91349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6BFF1443" w14:textId="77777777" w:rsidR="00D91349" w:rsidRPr="00AA61CF" w:rsidRDefault="00D91349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33B92FF9" w14:textId="77777777" w:rsidR="00D91349" w:rsidRPr="00AA61CF" w:rsidRDefault="00D91349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62723102" w14:textId="77777777" w:rsidR="00D91349" w:rsidRPr="00AA61CF" w:rsidRDefault="00D91349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51CEF37D" w14:textId="77777777" w:rsidR="00D91349" w:rsidRPr="00AA61CF" w:rsidRDefault="00D91349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B5FF37B" w14:textId="77777777" w:rsidR="00D91349" w:rsidRPr="00AA61CF" w:rsidRDefault="00D91349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200</w:t>
            </w:r>
          </w:p>
          <w:p w14:paraId="7B0C6CD4" w14:textId="77777777" w:rsidR="00D91349" w:rsidRPr="00AA61CF" w:rsidRDefault="00D91349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26B7F53B" w14:textId="77777777" w:rsidR="00D91349" w:rsidRPr="00AA61CF" w:rsidRDefault="00D91349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400</w:t>
            </w:r>
          </w:p>
          <w:p w14:paraId="7A47A7C8" w14:textId="77777777" w:rsidR="00D91349" w:rsidRPr="00AA61CF" w:rsidRDefault="00D91349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D91349" w14:paraId="5F0F5BBA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58754B4A" w14:textId="77777777" w:rsidR="00D91349" w:rsidRPr="00AA61CF" w:rsidRDefault="00D91349" w:rsidP="00DD65B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6D64A53" w14:textId="73336266" w:rsidR="00D91349" w:rsidRPr="00FD704E" w:rsidRDefault="00D91349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17.74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5EE0FF9" w14:textId="271BF5C7" w:rsidR="00D91349" w:rsidRPr="00FD704E" w:rsidRDefault="00D91349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17.74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8E77151" w14:textId="7125B795" w:rsidR="00D91349" w:rsidRPr="00FD704E" w:rsidRDefault="00D91349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17.74</w:t>
            </w:r>
          </w:p>
        </w:tc>
        <w:tc>
          <w:tcPr>
            <w:tcW w:w="700" w:type="dxa"/>
            <w:vAlign w:val="center"/>
          </w:tcPr>
          <w:p w14:paraId="01F2EA33" w14:textId="6D863CF8" w:rsidR="00D91349" w:rsidRDefault="00D91349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n/a</w:t>
            </w:r>
          </w:p>
        </w:tc>
      </w:tr>
      <w:tr w:rsidR="00D91349" w14:paraId="01047C62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6B3EC710" w14:textId="77777777" w:rsidR="00D91349" w:rsidRPr="00AA61CF" w:rsidRDefault="00D91349" w:rsidP="00DD65B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120</w:t>
            </w:r>
          </w:p>
        </w:tc>
        <w:tc>
          <w:tcPr>
            <w:tcW w:w="701" w:type="dxa"/>
            <w:vAlign w:val="center"/>
          </w:tcPr>
          <w:p w14:paraId="62678F25" w14:textId="473C619A" w:rsidR="00D91349" w:rsidRDefault="00D91349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17.20</w:t>
            </w:r>
          </w:p>
        </w:tc>
        <w:tc>
          <w:tcPr>
            <w:tcW w:w="701" w:type="dxa"/>
            <w:vAlign w:val="center"/>
          </w:tcPr>
          <w:p w14:paraId="39EB72A8" w14:textId="2BB3667B" w:rsidR="00D91349" w:rsidRDefault="00D91349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17.74</w:t>
            </w:r>
          </w:p>
        </w:tc>
        <w:tc>
          <w:tcPr>
            <w:tcW w:w="700" w:type="dxa"/>
            <w:vAlign w:val="center"/>
          </w:tcPr>
          <w:p w14:paraId="189A664F" w14:textId="730A0A5F" w:rsidR="00D91349" w:rsidRDefault="00D91349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17.74</w:t>
            </w:r>
          </w:p>
        </w:tc>
        <w:tc>
          <w:tcPr>
            <w:tcW w:w="700" w:type="dxa"/>
            <w:vAlign w:val="center"/>
          </w:tcPr>
          <w:p w14:paraId="76539EEA" w14:textId="2EC080AE" w:rsidR="00D91349" w:rsidRDefault="00D91349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17.74</w:t>
            </w:r>
          </w:p>
        </w:tc>
      </w:tr>
    </w:tbl>
    <w:p w14:paraId="3E033675" w14:textId="77777777" w:rsidR="00D91349" w:rsidRDefault="00D91349" w:rsidP="00DD65B2">
      <w:pPr>
        <w:rPr>
          <w:lang w:val="en-US"/>
        </w:rPr>
      </w:pPr>
    </w:p>
    <w:p w14:paraId="31ADCE42" w14:textId="090DCE32" w:rsidR="00EB609D" w:rsidRDefault="00EB609D" w:rsidP="00DD65B2">
      <w:pPr>
        <w:rPr>
          <w:lang w:val="en-US"/>
        </w:rPr>
      </w:pPr>
      <w:r>
        <w:rPr>
          <w:lang w:val="en-US"/>
        </w:rPr>
        <w:t xml:space="preserve">Evidently, all the values in the tables 2 to 9 meet the peak spectral efficiency requirements outlined in </w:t>
      </w:r>
      <w:r w:rsidRPr="00D7050A">
        <w:rPr>
          <w:lang w:val="en-US"/>
        </w:rPr>
        <w:t>ITU-R M.2410-0</w:t>
      </w:r>
      <w:r>
        <w:rPr>
          <w:lang w:val="en-US"/>
        </w:rPr>
        <w:t xml:space="preserve"> evaluation criteria. For the 256QAM modulation order, spectral efficiency values exceed the target for instance 30 b/s/Hz in the DL by a wide margin, thus leaving a significant margin for larger overheads than the values used in the analysis herein (e.g., OH=0.14 in the DL). </w:t>
      </w:r>
      <w:r w:rsidR="001F1998">
        <w:rPr>
          <w:lang w:val="en-US"/>
        </w:rPr>
        <w:t xml:space="preserve">Even in </w:t>
      </w:r>
      <w:r w:rsidR="008B6A1A">
        <w:rPr>
          <w:lang w:val="en-US"/>
        </w:rPr>
        <w:t>64QAM</w:t>
      </w:r>
      <w:r w:rsidR="001F1998">
        <w:rPr>
          <w:lang w:val="en-US"/>
        </w:rPr>
        <w:t xml:space="preserve"> modulation order scenario</w:t>
      </w:r>
      <w:r w:rsidR="008B6A1A">
        <w:rPr>
          <w:lang w:val="en-US"/>
        </w:rPr>
        <w:t xml:space="preserve">, which applies to FR2 range only, there is still some room left for a higher overhead both in the DL and in the </w:t>
      </w:r>
      <w:r w:rsidR="008442F4">
        <w:rPr>
          <w:lang w:val="en-US"/>
        </w:rPr>
        <w:t xml:space="preserve">UL, but in general, spectral efficiency calculated in tables 8 and 9 meets the ITU-R requirements. </w:t>
      </w:r>
    </w:p>
    <w:p w14:paraId="76C5813C" w14:textId="77777777" w:rsidR="008B6A1A" w:rsidRDefault="008B6A1A" w:rsidP="00DD65B2">
      <w:pPr>
        <w:rPr>
          <w:lang w:val="en-US"/>
        </w:rPr>
      </w:pPr>
    </w:p>
    <w:p w14:paraId="2C7477B0" w14:textId="78D1BC58" w:rsidR="00EB7D43" w:rsidRDefault="00D91349" w:rsidP="00DD65B2">
      <w:pPr>
        <w:pStyle w:val="Heading2"/>
        <w:rPr>
          <w:lang w:val="en-US"/>
        </w:rPr>
      </w:pPr>
      <w:r>
        <w:rPr>
          <w:lang w:val="en-US"/>
        </w:rPr>
        <w:t>Peak data rate calculation for the NR RIT</w:t>
      </w:r>
    </w:p>
    <w:p w14:paraId="3B6E59AD" w14:textId="77777777" w:rsidR="00D91349" w:rsidRDefault="00D91349" w:rsidP="00DD65B2">
      <w:pPr>
        <w:rPr>
          <w:lang w:val="en-US"/>
        </w:rPr>
      </w:pPr>
    </w:p>
    <w:p w14:paraId="1792A070" w14:textId="221514C5" w:rsidR="0041799C" w:rsidRDefault="00BB5BDE" w:rsidP="00DD65B2">
      <w:pPr>
        <w:rPr>
          <w:lang w:val="en-US"/>
        </w:rPr>
      </w:pPr>
      <w:r>
        <w:rPr>
          <w:lang w:val="en-US"/>
        </w:rPr>
        <w:t>In what follows, t</w:t>
      </w:r>
      <w:r w:rsidR="00EB7D43" w:rsidRPr="00EB7D43">
        <w:rPr>
          <w:lang w:val="en-US"/>
        </w:rPr>
        <w:t xml:space="preserve">he peak data rate is calculated </w:t>
      </w:r>
      <w:r w:rsidR="00EB609D">
        <w:rPr>
          <w:lang w:val="en-US"/>
        </w:rPr>
        <w:t xml:space="preserve">following the methodology </w:t>
      </w:r>
      <w:r w:rsidR="00EB7D43" w:rsidRPr="00EB7D43">
        <w:rPr>
          <w:lang w:val="en-US"/>
        </w:rPr>
        <w:t>specified in § 4.1 of Report ITU-R M.2410-0</w:t>
      </w:r>
      <w:r w:rsidR="00426501">
        <w:rPr>
          <w:lang w:val="en-US"/>
        </w:rPr>
        <w:t xml:space="preserve"> [1]</w:t>
      </w:r>
      <w:r w:rsidR="00EB7D43" w:rsidRPr="00EB7D43">
        <w:rPr>
          <w:lang w:val="en-US"/>
        </w:rPr>
        <w:t>, using peak spectral efficiency and maximum assignable channel bandwidth.</w:t>
      </w:r>
    </w:p>
    <w:p w14:paraId="567D3015" w14:textId="77777777" w:rsidR="007E72A7" w:rsidRDefault="007E72A7" w:rsidP="00DD65B2">
      <w:pPr>
        <w:rPr>
          <w:lang w:val="en-US"/>
        </w:rPr>
      </w:pPr>
    </w:p>
    <w:p w14:paraId="091B6ED4" w14:textId="1DCA7DF2" w:rsidR="00BB5BDE" w:rsidRDefault="00BB5BDE" w:rsidP="00DD65B2">
      <w:pPr>
        <w:jc w:val="center"/>
        <w:rPr>
          <w:lang w:val="en-US"/>
        </w:rPr>
      </w:pPr>
      <w:r>
        <w:rPr>
          <w:b/>
          <w:bCs/>
          <w:lang w:val="en-US"/>
        </w:rPr>
        <w:t xml:space="preserve">Table </w:t>
      </w:r>
      <w:r w:rsidR="00EB609D">
        <w:rPr>
          <w:b/>
          <w:bCs/>
          <w:lang w:val="en-US"/>
        </w:rPr>
        <w:t>10</w:t>
      </w:r>
      <w:r w:rsidRPr="00E022E1">
        <w:rPr>
          <w:lang w:val="en-US"/>
        </w:rPr>
        <w:t xml:space="preserve"> </w:t>
      </w:r>
      <w:r>
        <w:rPr>
          <w:lang w:val="en-US"/>
        </w:rPr>
        <w:t>NR FDD frequency range of FR1 (410 MHz – 7125</w:t>
      </w:r>
      <w:r w:rsidRPr="00E022E1">
        <w:rPr>
          <w:lang w:val="en-US"/>
        </w:rPr>
        <w:t xml:space="preserve"> MHz) DL peak </w:t>
      </w:r>
      <w:r>
        <w:rPr>
          <w:lang w:val="en-US"/>
        </w:rPr>
        <w:t>data rate</w:t>
      </w:r>
      <w:r w:rsidRPr="00E022E1">
        <w:rPr>
          <w:lang w:val="en-US"/>
        </w:rPr>
        <w:t xml:space="preserve"> (</w:t>
      </w:r>
      <w:r>
        <w:rPr>
          <w:lang w:val="en-US"/>
        </w:rPr>
        <w:t>Gbps</w:t>
      </w:r>
      <w:r w:rsidRPr="00E022E1">
        <w:rPr>
          <w:lang w:val="en-US"/>
        </w:rPr>
        <w:t>)</w:t>
      </w:r>
    </w:p>
    <w:p w14:paraId="7C777648" w14:textId="77777777" w:rsidR="00BB5BDE" w:rsidRDefault="00BB5BDE" w:rsidP="00DD65B2">
      <w:pPr>
        <w:jc w:val="center"/>
        <w:rPr>
          <w:lang w:eastAsia="zh-CN"/>
        </w:rPr>
      </w:pPr>
      <w:r>
        <w:rPr>
          <w:lang w:eastAsia="zh-CN"/>
        </w:rPr>
        <w:t>8-layer downlink transmission, with 256QAM modulation, and a maximum coding rate of 0.9258</w:t>
      </w:r>
    </w:p>
    <w:p w14:paraId="1BAA741E" w14:textId="77777777" w:rsidR="007E72A7" w:rsidRDefault="007E72A7" w:rsidP="00DD65B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BB5BDE" w14:paraId="1D9D0F72" w14:textId="77777777" w:rsidTr="00DD65B2">
        <w:trPr>
          <w:trHeight w:val="460"/>
        </w:trPr>
        <w:tc>
          <w:tcPr>
            <w:tcW w:w="948" w:type="dxa"/>
            <w:vAlign w:val="center"/>
          </w:tcPr>
          <w:p w14:paraId="0E019C00" w14:textId="77777777" w:rsidR="00BB5BDE" w:rsidRDefault="00BB5BDE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6ECA5894" w14:textId="77777777" w:rsidR="00BB5BDE" w:rsidRPr="00AA61CF" w:rsidRDefault="00BB5BDE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</w:p>
          <w:p w14:paraId="63B528E3" w14:textId="77777777" w:rsidR="00BB5BDE" w:rsidRPr="00AA61CF" w:rsidRDefault="00BB5BD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37EE87DF" w14:textId="77777777" w:rsidR="00BB5BDE" w:rsidRPr="00AA61CF" w:rsidRDefault="00BB5BDE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</w:p>
          <w:p w14:paraId="54DF5612" w14:textId="77777777" w:rsidR="00BB5BDE" w:rsidRPr="00AA61CF" w:rsidRDefault="00BB5BD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16F5C523" w14:textId="77777777" w:rsidR="00BB5BDE" w:rsidRPr="00AA61CF" w:rsidRDefault="00BB5BDE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15</w:t>
            </w:r>
          </w:p>
          <w:p w14:paraId="6D9885F6" w14:textId="77777777" w:rsidR="00BB5BDE" w:rsidRPr="00AA61CF" w:rsidRDefault="00BB5BD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F581BB1" w14:textId="77777777" w:rsidR="00BB5BDE" w:rsidRPr="00AA61CF" w:rsidRDefault="00BB5BDE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</w:t>
            </w:r>
          </w:p>
          <w:p w14:paraId="422B0960" w14:textId="77777777" w:rsidR="00BB5BDE" w:rsidRPr="00AA61CF" w:rsidRDefault="00BB5BD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8138AEF" w14:textId="77777777" w:rsidR="00BB5BDE" w:rsidRPr="00AA61CF" w:rsidRDefault="00BB5BDE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25</w:t>
            </w:r>
          </w:p>
          <w:p w14:paraId="70C5AB3E" w14:textId="77777777" w:rsidR="00BB5BDE" w:rsidRPr="00AA61CF" w:rsidRDefault="00BB5BD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6A47611B" w14:textId="77777777" w:rsidR="00BB5BDE" w:rsidRPr="00AA61CF" w:rsidRDefault="00BB5BDE" w:rsidP="00DD65B2">
            <w:pPr>
              <w:jc w:val="center"/>
              <w:rPr>
                <w:rFonts w:eastAsia="Yu Mincho"/>
                <w:sz w:val="16"/>
              </w:rPr>
            </w:pPr>
            <w:r w:rsidRPr="00AA61CF">
              <w:rPr>
                <w:rFonts w:eastAsia="Yu Mincho"/>
                <w:sz w:val="16"/>
              </w:rPr>
              <w:t>30</w:t>
            </w:r>
          </w:p>
          <w:p w14:paraId="4F65451D" w14:textId="77777777" w:rsidR="00BB5BDE" w:rsidRPr="00AA61CF" w:rsidRDefault="00BB5BD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7B19507C" w14:textId="77777777" w:rsidR="00BB5BDE" w:rsidRPr="00AA61CF" w:rsidRDefault="00BB5BDE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</w:t>
            </w:r>
          </w:p>
          <w:p w14:paraId="153194EB" w14:textId="77777777" w:rsidR="00BB5BDE" w:rsidRPr="00AA61CF" w:rsidRDefault="00BB5BD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2A2AB631" w14:textId="77777777" w:rsidR="00BB5BDE" w:rsidRPr="00AA61CF" w:rsidRDefault="00BB5BDE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50</w:t>
            </w:r>
          </w:p>
          <w:p w14:paraId="439C3FD4" w14:textId="77777777" w:rsidR="00BB5BDE" w:rsidRPr="00AA61CF" w:rsidRDefault="00BB5BD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5C499389" w14:textId="77777777" w:rsidR="00BB5BDE" w:rsidRPr="00AA61CF" w:rsidRDefault="00BB5BDE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60</w:t>
            </w:r>
          </w:p>
          <w:p w14:paraId="0DADE1B7" w14:textId="77777777" w:rsidR="00BB5BDE" w:rsidRPr="00AA61CF" w:rsidRDefault="00BB5BD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62B8CF05" w14:textId="77777777" w:rsidR="00BB5BDE" w:rsidRPr="00AA61CF" w:rsidRDefault="00BB5BDE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80</w:t>
            </w:r>
          </w:p>
          <w:p w14:paraId="66EACCBA" w14:textId="77777777" w:rsidR="00BB5BDE" w:rsidRPr="00AA61CF" w:rsidRDefault="00BB5BD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58BCFA93" w14:textId="77777777" w:rsidR="00BB5BDE" w:rsidRPr="00AA61CF" w:rsidRDefault="00BB5BDE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90</w:t>
            </w:r>
          </w:p>
          <w:p w14:paraId="64E5AEAB" w14:textId="77777777" w:rsidR="00BB5BDE" w:rsidRPr="00AA61CF" w:rsidRDefault="00BB5BD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5A6ACB15" w14:textId="77777777" w:rsidR="00BB5BDE" w:rsidRPr="00AA61CF" w:rsidRDefault="00BB5BDE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100</w:t>
            </w:r>
          </w:p>
          <w:p w14:paraId="4DFDD339" w14:textId="77777777" w:rsidR="00BB5BDE" w:rsidRPr="00AA61CF" w:rsidRDefault="00BB5BD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BB5BDE" w14:paraId="1E5957EE" w14:textId="77777777" w:rsidTr="00DD65B2">
        <w:trPr>
          <w:trHeight w:val="460"/>
        </w:trPr>
        <w:tc>
          <w:tcPr>
            <w:tcW w:w="948" w:type="dxa"/>
            <w:vAlign w:val="center"/>
          </w:tcPr>
          <w:p w14:paraId="2D6644CF" w14:textId="77777777" w:rsidR="00BB5BDE" w:rsidRPr="00AA61CF" w:rsidRDefault="00BB5BD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15</w:t>
            </w:r>
          </w:p>
        </w:tc>
        <w:tc>
          <w:tcPr>
            <w:tcW w:w="701" w:type="dxa"/>
            <w:vAlign w:val="center"/>
          </w:tcPr>
          <w:p w14:paraId="476A7C1C" w14:textId="2BB2257B" w:rsidR="00BB5BDE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0.214</w:t>
            </w:r>
          </w:p>
        </w:tc>
        <w:tc>
          <w:tcPr>
            <w:tcW w:w="701" w:type="dxa"/>
            <w:vAlign w:val="center"/>
          </w:tcPr>
          <w:p w14:paraId="5B281FE1" w14:textId="329E727A" w:rsidR="00BB5BDE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0.445</w:t>
            </w:r>
          </w:p>
        </w:tc>
        <w:tc>
          <w:tcPr>
            <w:tcW w:w="700" w:type="dxa"/>
            <w:vAlign w:val="center"/>
          </w:tcPr>
          <w:p w14:paraId="2D5BCF2F" w14:textId="58B586F6" w:rsidR="00BB5BDE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0.676</w:t>
            </w:r>
          </w:p>
        </w:tc>
        <w:tc>
          <w:tcPr>
            <w:tcW w:w="700" w:type="dxa"/>
            <w:vAlign w:val="center"/>
          </w:tcPr>
          <w:p w14:paraId="36280CC0" w14:textId="759E73CF" w:rsidR="00BB5BDE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0.907</w:t>
            </w:r>
          </w:p>
        </w:tc>
        <w:tc>
          <w:tcPr>
            <w:tcW w:w="700" w:type="dxa"/>
            <w:vAlign w:val="center"/>
          </w:tcPr>
          <w:p w14:paraId="397DF0F3" w14:textId="273D9D0D" w:rsidR="00BB5BDE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1.14</w:t>
            </w:r>
          </w:p>
        </w:tc>
        <w:tc>
          <w:tcPr>
            <w:tcW w:w="700" w:type="dxa"/>
            <w:vAlign w:val="center"/>
          </w:tcPr>
          <w:p w14:paraId="2F9173E5" w14:textId="2D9E85B3" w:rsidR="00BB5BDE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1.37</w:t>
            </w:r>
          </w:p>
        </w:tc>
        <w:tc>
          <w:tcPr>
            <w:tcW w:w="700" w:type="dxa"/>
            <w:vAlign w:val="center"/>
          </w:tcPr>
          <w:p w14:paraId="7A17D4F4" w14:textId="11BF5CE2" w:rsidR="00BB5BDE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1.85</w:t>
            </w:r>
          </w:p>
        </w:tc>
        <w:tc>
          <w:tcPr>
            <w:tcW w:w="700" w:type="dxa"/>
            <w:vAlign w:val="center"/>
          </w:tcPr>
          <w:p w14:paraId="7F51A0C1" w14:textId="7F8443B1" w:rsidR="00BB5BDE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2.31</w:t>
            </w:r>
          </w:p>
        </w:tc>
        <w:tc>
          <w:tcPr>
            <w:tcW w:w="700" w:type="dxa"/>
            <w:vAlign w:val="center"/>
          </w:tcPr>
          <w:p w14:paraId="7990FFB9" w14:textId="77777777" w:rsidR="00BB5BDE" w:rsidRDefault="00BB5BDE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  <w:vAlign w:val="center"/>
          </w:tcPr>
          <w:p w14:paraId="4AAF66E6" w14:textId="77777777" w:rsidR="00BB5BDE" w:rsidRDefault="00BB5BDE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  <w:vAlign w:val="center"/>
          </w:tcPr>
          <w:p w14:paraId="460B67C9" w14:textId="77777777" w:rsidR="00BB5BDE" w:rsidRDefault="00BB5BDE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  <w:vAlign w:val="center"/>
          </w:tcPr>
          <w:p w14:paraId="3E9968E1" w14:textId="77777777" w:rsidR="00BB5BDE" w:rsidRDefault="00BB5BDE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BB5BDE" w14:paraId="4CFDA4FD" w14:textId="77777777" w:rsidTr="00DD65B2">
        <w:trPr>
          <w:trHeight w:val="460"/>
        </w:trPr>
        <w:tc>
          <w:tcPr>
            <w:tcW w:w="948" w:type="dxa"/>
            <w:vAlign w:val="center"/>
          </w:tcPr>
          <w:p w14:paraId="648F1748" w14:textId="77777777" w:rsidR="00BB5BDE" w:rsidRPr="00AA61CF" w:rsidRDefault="00BB5BD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30</w:t>
            </w:r>
          </w:p>
        </w:tc>
        <w:tc>
          <w:tcPr>
            <w:tcW w:w="701" w:type="dxa"/>
            <w:vAlign w:val="center"/>
          </w:tcPr>
          <w:p w14:paraId="607D0C7B" w14:textId="2758B0BB" w:rsidR="00BB5BDE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0.188</w:t>
            </w:r>
          </w:p>
        </w:tc>
        <w:tc>
          <w:tcPr>
            <w:tcW w:w="701" w:type="dxa"/>
            <w:vAlign w:val="center"/>
          </w:tcPr>
          <w:p w14:paraId="3854B708" w14:textId="187A3EA1" w:rsidR="00BB5BDE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0.411</w:t>
            </w:r>
          </w:p>
        </w:tc>
        <w:tc>
          <w:tcPr>
            <w:tcW w:w="700" w:type="dxa"/>
            <w:vAlign w:val="center"/>
          </w:tcPr>
          <w:p w14:paraId="24FE7A69" w14:textId="3ED03709" w:rsidR="00BB5BDE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0.650</w:t>
            </w:r>
          </w:p>
        </w:tc>
        <w:tc>
          <w:tcPr>
            <w:tcW w:w="700" w:type="dxa"/>
            <w:vAlign w:val="center"/>
          </w:tcPr>
          <w:p w14:paraId="51AAD314" w14:textId="6E83FEF8" w:rsidR="00BB5BDE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0.873</w:t>
            </w:r>
          </w:p>
        </w:tc>
        <w:tc>
          <w:tcPr>
            <w:tcW w:w="700" w:type="dxa"/>
            <w:vAlign w:val="center"/>
          </w:tcPr>
          <w:p w14:paraId="2170844E" w14:textId="415EEC5B" w:rsidR="00BB5BDE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1.11</w:t>
            </w:r>
          </w:p>
        </w:tc>
        <w:tc>
          <w:tcPr>
            <w:tcW w:w="700" w:type="dxa"/>
            <w:vAlign w:val="center"/>
          </w:tcPr>
          <w:p w14:paraId="7490563C" w14:textId="23FCE3F7" w:rsidR="00BB5BDE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1.33</w:t>
            </w:r>
          </w:p>
        </w:tc>
        <w:tc>
          <w:tcPr>
            <w:tcW w:w="700" w:type="dxa"/>
            <w:vAlign w:val="center"/>
          </w:tcPr>
          <w:p w14:paraId="60493AF3" w14:textId="3129A97E" w:rsidR="00BB5BDE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1.81</w:t>
            </w:r>
          </w:p>
        </w:tc>
        <w:tc>
          <w:tcPr>
            <w:tcW w:w="700" w:type="dxa"/>
            <w:vAlign w:val="center"/>
          </w:tcPr>
          <w:p w14:paraId="74675F8E" w14:textId="559BB8EA" w:rsidR="00BB5BDE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2.28</w:t>
            </w:r>
          </w:p>
        </w:tc>
        <w:tc>
          <w:tcPr>
            <w:tcW w:w="700" w:type="dxa"/>
            <w:vAlign w:val="center"/>
          </w:tcPr>
          <w:p w14:paraId="3CC9BE47" w14:textId="083E185E" w:rsidR="00BB5BDE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2.77</w:t>
            </w:r>
          </w:p>
        </w:tc>
        <w:tc>
          <w:tcPr>
            <w:tcW w:w="700" w:type="dxa"/>
            <w:vAlign w:val="center"/>
          </w:tcPr>
          <w:p w14:paraId="22956EA7" w14:textId="73A87798" w:rsidR="00BB5BDE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3.71</w:t>
            </w:r>
          </w:p>
        </w:tc>
        <w:tc>
          <w:tcPr>
            <w:tcW w:w="700" w:type="dxa"/>
            <w:vAlign w:val="center"/>
          </w:tcPr>
          <w:p w14:paraId="59C2D3BC" w14:textId="5CEECBE2" w:rsidR="00BB5BDE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4.19</w:t>
            </w:r>
          </w:p>
        </w:tc>
        <w:tc>
          <w:tcPr>
            <w:tcW w:w="700" w:type="dxa"/>
            <w:vAlign w:val="center"/>
          </w:tcPr>
          <w:p w14:paraId="2241AFB0" w14:textId="5275D0B9" w:rsidR="00BB5BDE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4.67</w:t>
            </w:r>
          </w:p>
        </w:tc>
      </w:tr>
      <w:tr w:rsidR="00BB5BDE" w14:paraId="230BBD15" w14:textId="77777777" w:rsidTr="00DD65B2">
        <w:trPr>
          <w:trHeight w:val="460"/>
        </w:trPr>
        <w:tc>
          <w:tcPr>
            <w:tcW w:w="948" w:type="dxa"/>
            <w:vAlign w:val="center"/>
          </w:tcPr>
          <w:p w14:paraId="39AF64A3" w14:textId="77777777" w:rsidR="00BB5BDE" w:rsidRPr="00AA61CF" w:rsidRDefault="00BB5BD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  <w:vAlign w:val="center"/>
          </w:tcPr>
          <w:p w14:paraId="18B49C2E" w14:textId="77777777" w:rsidR="00BB5BDE" w:rsidRDefault="00BB5BDE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1" w:type="dxa"/>
            <w:vAlign w:val="center"/>
          </w:tcPr>
          <w:p w14:paraId="63D857D1" w14:textId="22B759CC" w:rsidR="00BB5BDE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0.377</w:t>
            </w:r>
          </w:p>
        </w:tc>
        <w:tc>
          <w:tcPr>
            <w:tcW w:w="700" w:type="dxa"/>
            <w:vAlign w:val="center"/>
          </w:tcPr>
          <w:p w14:paraId="7DADD539" w14:textId="65A0479E" w:rsidR="00BB5BDE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0.616</w:t>
            </w:r>
          </w:p>
        </w:tc>
        <w:tc>
          <w:tcPr>
            <w:tcW w:w="700" w:type="dxa"/>
            <w:vAlign w:val="center"/>
          </w:tcPr>
          <w:p w14:paraId="10D9E5EB" w14:textId="39BA5C3D" w:rsidR="00BB5BDE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0.822</w:t>
            </w:r>
          </w:p>
        </w:tc>
        <w:tc>
          <w:tcPr>
            <w:tcW w:w="700" w:type="dxa"/>
            <w:vAlign w:val="center"/>
          </w:tcPr>
          <w:p w14:paraId="125625BE" w14:textId="701F0065" w:rsidR="00BB5BDE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1.06</w:t>
            </w:r>
          </w:p>
        </w:tc>
        <w:tc>
          <w:tcPr>
            <w:tcW w:w="700" w:type="dxa"/>
            <w:vAlign w:val="center"/>
          </w:tcPr>
          <w:p w14:paraId="0DF29470" w14:textId="0FDB4347" w:rsidR="00BB5BDE" w:rsidRDefault="00D25BB2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1.30</w:t>
            </w:r>
          </w:p>
        </w:tc>
        <w:tc>
          <w:tcPr>
            <w:tcW w:w="700" w:type="dxa"/>
            <w:vAlign w:val="center"/>
          </w:tcPr>
          <w:p w14:paraId="2E3538D2" w14:textId="22254068" w:rsidR="00BB5BDE" w:rsidRDefault="00D25BB2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1.75</w:t>
            </w:r>
          </w:p>
        </w:tc>
        <w:tc>
          <w:tcPr>
            <w:tcW w:w="700" w:type="dxa"/>
            <w:vAlign w:val="center"/>
          </w:tcPr>
          <w:p w14:paraId="4AD1A99A" w14:textId="7B86A410" w:rsidR="00BB5BDE" w:rsidRDefault="00D25BB2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2.22</w:t>
            </w:r>
          </w:p>
        </w:tc>
        <w:tc>
          <w:tcPr>
            <w:tcW w:w="700" w:type="dxa"/>
            <w:vAlign w:val="center"/>
          </w:tcPr>
          <w:p w14:paraId="68646690" w14:textId="135097AA" w:rsidR="00BB5BDE" w:rsidRDefault="00D25BB2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2.70</w:t>
            </w:r>
          </w:p>
        </w:tc>
        <w:tc>
          <w:tcPr>
            <w:tcW w:w="700" w:type="dxa"/>
            <w:vAlign w:val="center"/>
          </w:tcPr>
          <w:p w14:paraId="6EBF988C" w14:textId="5E645C4F" w:rsidR="00BB5BDE" w:rsidRDefault="00D25BB2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3.66</w:t>
            </w:r>
          </w:p>
        </w:tc>
        <w:tc>
          <w:tcPr>
            <w:tcW w:w="700" w:type="dxa"/>
            <w:vAlign w:val="center"/>
          </w:tcPr>
          <w:p w14:paraId="474C24D3" w14:textId="670F1655" w:rsidR="00BB5BDE" w:rsidRDefault="00D25BB2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4.14</w:t>
            </w:r>
          </w:p>
        </w:tc>
        <w:tc>
          <w:tcPr>
            <w:tcW w:w="700" w:type="dxa"/>
            <w:vAlign w:val="center"/>
          </w:tcPr>
          <w:p w14:paraId="4F2D9721" w14:textId="0B2568E5" w:rsidR="00BB5BDE" w:rsidRDefault="00D25BB2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4.62</w:t>
            </w:r>
          </w:p>
        </w:tc>
      </w:tr>
    </w:tbl>
    <w:p w14:paraId="14619E48" w14:textId="77777777" w:rsidR="00BB5BDE" w:rsidRDefault="00BB5BDE" w:rsidP="00DD65B2">
      <w:pPr>
        <w:rPr>
          <w:lang w:val="en-US"/>
        </w:rPr>
      </w:pPr>
    </w:p>
    <w:p w14:paraId="0BA6BB30" w14:textId="77777777" w:rsidR="00714350" w:rsidRDefault="00714350" w:rsidP="00DD65B2">
      <w:pPr>
        <w:jc w:val="center"/>
        <w:rPr>
          <w:b/>
          <w:bCs/>
          <w:lang w:val="en-US"/>
        </w:rPr>
      </w:pPr>
    </w:p>
    <w:p w14:paraId="4210AA5F" w14:textId="7C4E5F1D" w:rsidR="00BB5BDE" w:rsidRDefault="00BB5BDE" w:rsidP="00DD65B2">
      <w:pPr>
        <w:jc w:val="center"/>
        <w:rPr>
          <w:lang w:val="en-US"/>
        </w:rPr>
      </w:pPr>
      <w:r>
        <w:rPr>
          <w:b/>
          <w:bCs/>
          <w:lang w:val="en-US"/>
        </w:rPr>
        <w:t xml:space="preserve">Table </w:t>
      </w:r>
      <w:r w:rsidR="00EB609D">
        <w:rPr>
          <w:b/>
          <w:bCs/>
          <w:lang w:val="en-US"/>
        </w:rPr>
        <w:t>11</w:t>
      </w:r>
      <w:r w:rsidRPr="00E022E1">
        <w:rPr>
          <w:lang w:val="en-US"/>
        </w:rPr>
        <w:t xml:space="preserve"> </w:t>
      </w:r>
      <w:r>
        <w:rPr>
          <w:lang w:val="en-US"/>
        </w:rPr>
        <w:t>NR FDD frequency range of FR1 (410 MHz – 7125</w:t>
      </w:r>
      <w:r w:rsidRPr="00E022E1">
        <w:rPr>
          <w:lang w:val="en-US"/>
        </w:rPr>
        <w:t xml:space="preserve"> MHz) </w:t>
      </w:r>
      <w:r>
        <w:rPr>
          <w:lang w:val="en-US"/>
        </w:rPr>
        <w:t>UL</w:t>
      </w:r>
      <w:r w:rsidRPr="00E022E1">
        <w:rPr>
          <w:lang w:val="en-US"/>
        </w:rPr>
        <w:t xml:space="preserve"> peak </w:t>
      </w:r>
      <w:r>
        <w:rPr>
          <w:lang w:val="en-US"/>
        </w:rPr>
        <w:t>data rate</w:t>
      </w:r>
      <w:r w:rsidRPr="00E022E1">
        <w:rPr>
          <w:lang w:val="en-US"/>
        </w:rPr>
        <w:t xml:space="preserve"> (</w:t>
      </w:r>
      <w:r>
        <w:rPr>
          <w:lang w:val="en-US"/>
        </w:rPr>
        <w:t>Gbps</w:t>
      </w:r>
      <w:r w:rsidRPr="00E022E1">
        <w:rPr>
          <w:lang w:val="en-US"/>
        </w:rPr>
        <w:t>)</w:t>
      </w:r>
    </w:p>
    <w:p w14:paraId="1464C459" w14:textId="78C4AA62" w:rsidR="00BB5BDE" w:rsidRDefault="00BB5BDE" w:rsidP="00DD65B2">
      <w:pPr>
        <w:jc w:val="center"/>
        <w:rPr>
          <w:lang w:eastAsia="zh-CN"/>
        </w:rPr>
      </w:pPr>
      <w:r>
        <w:rPr>
          <w:lang w:eastAsia="zh-CN"/>
        </w:rPr>
        <w:t>4-layer uplink transmission, with 256QAM modulation, and a maximum coding rate of 0.9258</w:t>
      </w:r>
    </w:p>
    <w:p w14:paraId="7535583F" w14:textId="77777777" w:rsidR="007E72A7" w:rsidRDefault="007E72A7" w:rsidP="00DD65B2">
      <w:pPr>
        <w:jc w:val="center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BB5BDE" w14:paraId="58E7C177" w14:textId="77777777" w:rsidTr="00DD65B2">
        <w:trPr>
          <w:trHeight w:val="460"/>
        </w:trPr>
        <w:tc>
          <w:tcPr>
            <w:tcW w:w="948" w:type="dxa"/>
            <w:vAlign w:val="center"/>
          </w:tcPr>
          <w:p w14:paraId="78CD48E5" w14:textId="77777777" w:rsidR="00BB5BDE" w:rsidRDefault="00BB5BDE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76726CBA" w14:textId="77777777" w:rsidR="00BB5BDE" w:rsidRPr="00AA61CF" w:rsidRDefault="00BB5BDE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</w:p>
          <w:p w14:paraId="1EC21F5F" w14:textId="77777777" w:rsidR="00BB5BDE" w:rsidRPr="00AA61CF" w:rsidRDefault="00BB5BD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183A4679" w14:textId="77777777" w:rsidR="00BB5BDE" w:rsidRPr="00AA61CF" w:rsidRDefault="00BB5BDE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</w:p>
          <w:p w14:paraId="0EAE43F6" w14:textId="77777777" w:rsidR="00BB5BDE" w:rsidRPr="00AA61CF" w:rsidRDefault="00BB5BD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4E71EA17" w14:textId="77777777" w:rsidR="00BB5BDE" w:rsidRPr="00AA61CF" w:rsidRDefault="00BB5BDE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15</w:t>
            </w:r>
          </w:p>
          <w:p w14:paraId="032E5744" w14:textId="77777777" w:rsidR="00BB5BDE" w:rsidRPr="00AA61CF" w:rsidRDefault="00BB5BD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23D67631" w14:textId="77777777" w:rsidR="00BB5BDE" w:rsidRPr="00AA61CF" w:rsidRDefault="00BB5BDE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</w:t>
            </w:r>
          </w:p>
          <w:p w14:paraId="7580E8E7" w14:textId="77777777" w:rsidR="00BB5BDE" w:rsidRPr="00AA61CF" w:rsidRDefault="00BB5BD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6D73D21D" w14:textId="77777777" w:rsidR="00BB5BDE" w:rsidRPr="00AA61CF" w:rsidRDefault="00BB5BDE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25</w:t>
            </w:r>
          </w:p>
          <w:p w14:paraId="0F508778" w14:textId="77777777" w:rsidR="00BB5BDE" w:rsidRPr="00AA61CF" w:rsidRDefault="00BB5BD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1F69AD7C" w14:textId="77777777" w:rsidR="00BB5BDE" w:rsidRPr="00AA61CF" w:rsidRDefault="00BB5BDE" w:rsidP="00DD65B2">
            <w:pPr>
              <w:jc w:val="center"/>
              <w:rPr>
                <w:rFonts w:eastAsia="Yu Mincho"/>
                <w:sz w:val="16"/>
              </w:rPr>
            </w:pPr>
            <w:r w:rsidRPr="00AA61CF">
              <w:rPr>
                <w:rFonts w:eastAsia="Yu Mincho"/>
                <w:sz w:val="16"/>
              </w:rPr>
              <w:t>30</w:t>
            </w:r>
          </w:p>
          <w:p w14:paraId="34312BF0" w14:textId="77777777" w:rsidR="00BB5BDE" w:rsidRPr="00AA61CF" w:rsidRDefault="00BB5BD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5D6F7160" w14:textId="77777777" w:rsidR="00BB5BDE" w:rsidRPr="00AA61CF" w:rsidRDefault="00BB5BDE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</w:t>
            </w:r>
          </w:p>
          <w:p w14:paraId="175D4BE4" w14:textId="77777777" w:rsidR="00BB5BDE" w:rsidRPr="00AA61CF" w:rsidRDefault="00BB5BD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71351F66" w14:textId="77777777" w:rsidR="00BB5BDE" w:rsidRPr="00AA61CF" w:rsidRDefault="00BB5BDE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50</w:t>
            </w:r>
          </w:p>
          <w:p w14:paraId="1E028764" w14:textId="77777777" w:rsidR="00BB5BDE" w:rsidRPr="00AA61CF" w:rsidRDefault="00BB5BD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6210BA34" w14:textId="77777777" w:rsidR="00BB5BDE" w:rsidRPr="00AA61CF" w:rsidRDefault="00BB5BDE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60</w:t>
            </w:r>
          </w:p>
          <w:p w14:paraId="36C4438B" w14:textId="77777777" w:rsidR="00BB5BDE" w:rsidRPr="00AA61CF" w:rsidRDefault="00BB5BD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225FFF7E" w14:textId="77777777" w:rsidR="00BB5BDE" w:rsidRPr="00AA61CF" w:rsidRDefault="00BB5BDE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80</w:t>
            </w:r>
          </w:p>
          <w:p w14:paraId="57D95000" w14:textId="77777777" w:rsidR="00BB5BDE" w:rsidRPr="00AA61CF" w:rsidRDefault="00BB5BD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46DEF7ED" w14:textId="77777777" w:rsidR="00BB5BDE" w:rsidRPr="00AA61CF" w:rsidRDefault="00BB5BDE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90</w:t>
            </w:r>
          </w:p>
          <w:p w14:paraId="72DA1676" w14:textId="77777777" w:rsidR="00BB5BDE" w:rsidRPr="00AA61CF" w:rsidRDefault="00BB5BD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339CA521" w14:textId="77777777" w:rsidR="00BB5BDE" w:rsidRPr="00AA61CF" w:rsidRDefault="00BB5BDE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100</w:t>
            </w:r>
          </w:p>
          <w:p w14:paraId="1B77AAFF" w14:textId="77777777" w:rsidR="00BB5BDE" w:rsidRPr="00AA61CF" w:rsidRDefault="00BB5BD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B97D76" w14:paraId="03FB34FE" w14:textId="77777777" w:rsidTr="00DD65B2">
        <w:trPr>
          <w:trHeight w:val="460"/>
        </w:trPr>
        <w:tc>
          <w:tcPr>
            <w:tcW w:w="948" w:type="dxa"/>
            <w:vAlign w:val="center"/>
          </w:tcPr>
          <w:p w14:paraId="4DF5E159" w14:textId="77777777" w:rsidR="00B97D76" w:rsidRPr="00AA61CF" w:rsidRDefault="00B97D76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lastRenderedPageBreak/>
              <w:t>15</w:t>
            </w:r>
          </w:p>
        </w:tc>
        <w:tc>
          <w:tcPr>
            <w:tcW w:w="701" w:type="dxa"/>
            <w:vAlign w:val="center"/>
          </w:tcPr>
          <w:p w14:paraId="6CD2FB7B" w14:textId="022E00A6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0.114</w:t>
            </w:r>
          </w:p>
        </w:tc>
        <w:tc>
          <w:tcPr>
            <w:tcW w:w="701" w:type="dxa"/>
            <w:vAlign w:val="center"/>
          </w:tcPr>
          <w:p w14:paraId="750689F4" w14:textId="39DB8F6F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0.238</w:t>
            </w:r>
          </w:p>
        </w:tc>
        <w:tc>
          <w:tcPr>
            <w:tcW w:w="700" w:type="dxa"/>
            <w:vAlign w:val="center"/>
          </w:tcPr>
          <w:p w14:paraId="16E7419D" w14:textId="371A78D5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0.362</w:t>
            </w:r>
          </w:p>
        </w:tc>
        <w:tc>
          <w:tcPr>
            <w:tcW w:w="700" w:type="dxa"/>
            <w:vAlign w:val="center"/>
          </w:tcPr>
          <w:p w14:paraId="40CCF422" w14:textId="0D9A5641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0.485</w:t>
            </w:r>
          </w:p>
        </w:tc>
        <w:tc>
          <w:tcPr>
            <w:tcW w:w="700" w:type="dxa"/>
            <w:vAlign w:val="center"/>
          </w:tcPr>
          <w:p w14:paraId="11BE9CDD" w14:textId="74EBAB0A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0.609</w:t>
            </w:r>
          </w:p>
        </w:tc>
        <w:tc>
          <w:tcPr>
            <w:tcW w:w="700" w:type="dxa"/>
            <w:vAlign w:val="center"/>
          </w:tcPr>
          <w:p w14:paraId="58947BF6" w14:textId="100D9E04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0.733</w:t>
            </w:r>
          </w:p>
        </w:tc>
        <w:tc>
          <w:tcPr>
            <w:tcW w:w="700" w:type="dxa"/>
            <w:vAlign w:val="center"/>
          </w:tcPr>
          <w:p w14:paraId="5364769D" w14:textId="7573AAD5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0.989</w:t>
            </w:r>
          </w:p>
        </w:tc>
        <w:tc>
          <w:tcPr>
            <w:tcW w:w="700" w:type="dxa"/>
            <w:vAlign w:val="center"/>
          </w:tcPr>
          <w:p w14:paraId="5027549A" w14:textId="716DB419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1.23</w:t>
            </w:r>
          </w:p>
        </w:tc>
        <w:tc>
          <w:tcPr>
            <w:tcW w:w="700" w:type="dxa"/>
            <w:vAlign w:val="center"/>
          </w:tcPr>
          <w:p w14:paraId="0FE5838C" w14:textId="4337942B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  <w:vAlign w:val="center"/>
          </w:tcPr>
          <w:p w14:paraId="72F43F0A" w14:textId="065E33BF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  <w:vAlign w:val="center"/>
          </w:tcPr>
          <w:p w14:paraId="1F2350C8" w14:textId="3275B66B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  <w:vAlign w:val="center"/>
          </w:tcPr>
          <w:p w14:paraId="28DEBCBC" w14:textId="0B0DD98C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B97D76" w14:paraId="42F502DE" w14:textId="77777777" w:rsidTr="00DD65B2">
        <w:trPr>
          <w:trHeight w:val="460"/>
        </w:trPr>
        <w:tc>
          <w:tcPr>
            <w:tcW w:w="948" w:type="dxa"/>
            <w:vAlign w:val="center"/>
          </w:tcPr>
          <w:p w14:paraId="572CACB1" w14:textId="77777777" w:rsidR="00B97D76" w:rsidRPr="00AA61CF" w:rsidRDefault="00B97D76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30</w:t>
            </w:r>
          </w:p>
        </w:tc>
        <w:tc>
          <w:tcPr>
            <w:tcW w:w="701" w:type="dxa"/>
            <w:vAlign w:val="center"/>
          </w:tcPr>
          <w:p w14:paraId="67E9F9E2" w14:textId="2D5F8450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0.100</w:t>
            </w:r>
          </w:p>
        </w:tc>
        <w:tc>
          <w:tcPr>
            <w:tcW w:w="701" w:type="dxa"/>
            <w:vAlign w:val="center"/>
          </w:tcPr>
          <w:p w14:paraId="16244F69" w14:textId="4463AA3C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0.220</w:t>
            </w:r>
          </w:p>
        </w:tc>
        <w:tc>
          <w:tcPr>
            <w:tcW w:w="700" w:type="dxa"/>
            <w:vAlign w:val="center"/>
          </w:tcPr>
          <w:p w14:paraId="0A072FBD" w14:textId="3E8689FA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0.348</w:t>
            </w:r>
          </w:p>
        </w:tc>
        <w:tc>
          <w:tcPr>
            <w:tcW w:w="700" w:type="dxa"/>
            <w:vAlign w:val="center"/>
          </w:tcPr>
          <w:p w14:paraId="50BF08CD" w14:textId="4A680EEA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0.467</w:t>
            </w:r>
          </w:p>
        </w:tc>
        <w:tc>
          <w:tcPr>
            <w:tcW w:w="700" w:type="dxa"/>
            <w:vAlign w:val="center"/>
          </w:tcPr>
          <w:p w14:paraId="4BC18194" w14:textId="151111B5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0.595</w:t>
            </w:r>
          </w:p>
        </w:tc>
        <w:tc>
          <w:tcPr>
            <w:tcW w:w="700" w:type="dxa"/>
            <w:vAlign w:val="center"/>
          </w:tcPr>
          <w:p w14:paraId="5994F430" w14:textId="4AE11968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0.714</w:t>
            </w:r>
          </w:p>
        </w:tc>
        <w:tc>
          <w:tcPr>
            <w:tcW w:w="700" w:type="dxa"/>
            <w:vAlign w:val="center"/>
          </w:tcPr>
          <w:p w14:paraId="4268C515" w14:textId="38987DA7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0.970</w:t>
            </w:r>
          </w:p>
        </w:tc>
        <w:tc>
          <w:tcPr>
            <w:tcW w:w="700" w:type="dxa"/>
            <w:vAlign w:val="center"/>
          </w:tcPr>
          <w:p w14:paraId="485D82D5" w14:textId="4D194576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1.22</w:t>
            </w:r>
          </w:p>
        </w:tc>
        <w:tc>
          <w:tcPr>
            <w:tcW w:w="700" w:type="dxa"/>
            <w:vAlign w:val="center"/>
          </w:tcPr>
          <w:p w14:paraId="4670F4CE" w14:textId="5D8A98E1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1.48</w:t>
            </w:r>
          </w:p>
        </w:tc>
        <w:tc>
          <w:tcPr>
            <w:tcW w:w="700" w:type="dxa"/>
            <w:vAlign w:val="center"/>
          </w:tcPr>
          <w:p w14:paraId="766C4AFD" w14:textId="2917E7DA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1.99</w:t>
            </w:r>
          </w:p>
        </w:tc>
        <w:tc>
          <w:tcPr>
            <w:tcW w:w="700" w:type="dxa"/>
            <w:vAlign w:val="center"/>
          </w:tcPr>
          <w:p w14:paraId="3385C90B" w14:textId="15265031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2.24</w:t>
            </w:r>
          </w:p>
        </w:tc>
        <w:tc>
          <w:tcPr>
            <w:tcW w:w="700" w:type="dxa"/>
            <w:vAlign w:val="center"/>
          </w:tcPr>
          <w:p w14:paraId="2E7E6BA9" w14:textId="79DF31E7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</w:tr>
      <w:tr w:rsidR="00B97D76" w14:paraId="2E4C4F55" w14:textId="77777777" w:rsidTr="00DD65B2">
        <w:trPr>
          <w:trHeight w:val="460"/>
        </w:trPr>
        <w:tc>
          <w:tcPr>
            <w:tcW w:w="948" w:type="dxa"/>
            <w:vAlign w:val="center"/>
          </w:tcPr>
          <w:p w14:paraId="4C7BDBA2" w14:textId="77777777" w:rsidR="00B97D76" w:rsidRPr="00AA61CF" w:rsidRDefault="00B97D76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  <w:vAlign w:val="center"/>
          </w:tcPr>
          <w:p w14:paraId="46A5BFA6" w14:textId="112E4D9A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1" w:type="dxa"/>
            <w:vAlign w:val="center"/>
          </w:tcPr>
          <w:p w14:paraId="5FB62F6D" w14:textId="3863D93A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0.201</w:t>
            </w:r>
          </w:p>
        </w:tc>
        <w:tc>
          <w:tcPr>
            <w:tcW w:w="700" w:type="dxa"/>
            <w:vAlign w:val="center"/>
          </w:tcPr>
          <w:p w14:paraId="6B46468E" w14:textId="69914D1A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0.330</w:t>
            </w:r>
          </w:p>
        </w:tc>
        <w:tc>
          <w:tcPr>
            <w:tcW w:w="700" w:type="dxa"/>
            <w:vAlign w:val="center"/>
          </w:tcPr>
          <w:p w14:paraId="020DAD40" w14:textId="0647BFC8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0.439</w:t>
            </w:r>
          </w:p>
        </w:tc>
        <w:tc>
          <w:tcPr>
            <w:tcW w:w="700" w:type="dxa"/>
            <w:vAlign w:val="center"/>
          </w:tcPr>
          <w:p w14:paraId="61BC26DF" w14:textId="09950D43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0.568</w:t>
            </w:r>
          </w:p>
        </w:tc>
        <w:tc>
          <w:tcPr>
            <w:tcW w:w="700" w:type="dxa"/>
            <w:vAlign w:val="center"/>
          </w:tcPr>
          <w:p w14:paraId="0A2C22D1" w14:textId="362A8042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0.696</w:t>
            </w:r>
          </w:p>
        </w:tc>
        <w:tc>
          <w:tcPr>
            <w:tcW w:w="700" w:type="dxa"/>
            <w:vAlign w:val="center"/>
          </w:tcPr>
          <w:p w14:paraId="5A406253" w14:textId="1787314E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0.934</w:t>
            </w:r>
          </w:p>
        </w:tc>
        <w:tc>
          <w:tcPr>
            <w:tcW w:w="700" w:type="dxa"/>
            <w:vAlign w:val="center"/>
          </w:tcPr>
          <w:p w14:paraId="7308DF0B" w14:textId="387B4232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1.19</w:t>
            </w:r>
          </w:p>
        </w:tc>
        <w:tc>
          <w:tcPr>
            <w:tcW w:w="700" w:type="dxa"/>
            <w:vAlign w:val="center"/>
          </w:tcPr>
          <w:p w14:paraId="3661A17B" w14:textId="6BA74F3A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1.45</w:t>
            </w:r>
          </w:p>
        </w:tc>
        <w:tc>
          <w:tcPr>
            <w:tcW w:w="700" w:type="dxa"/>
            <w:vAlign w:val="center"/>
          </w:tcPr>
          <w:p w14:paraId="5A7CC885" w14:textId="0C9766D3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1.96</w:t>
            </w:r>
          </w:p>
        </w:tc>
        <w:tc>
          <w:tcPr>
            <w:tcW w:w="700" w:type="dxa"/>
            <w:vAlign w:val="center"/>
          </w:tcPr>
          <w:p w14:paraId="0025722F" w14:textId="27505EC8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1.22</w:t>
            </w:r>
          </w:p>
        </w:tc>
        <w:tc>
          <w:tcPr>
            <w:tcW w:w="700" w:type="dxa"/>
            <w:vAlign w:val="center"/>
          </w:tcPr>
          <w:p w14:paraId="379A1CB6" w14:textId="5150E5FD" w:rsidR="00B97D76" w:rsidRDefault="00B97D7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2.47</w:t>
            </w:r>
          </w:p>
        </w:tc>
      </w:tr>
    </w:tbl>
    <w:p w14:paraId="4F66C516" w14:textId="340B54D2" w:rsidR="004661FF" w:rsidRDefault="004661FF" w:rsidP="00DD65B2">
      <w:pPr>
        <w:rPr>
          <w:lang w:val="en-US"/>
        </w:rPr>
      </w:pPr>
    </w:p>
    <w:p w14:paraId="53FA9597" w14:textId="77777777" w:rsidR="007E72A7" w:rsidRDefault="007E72A7" w:rsidP="00DD65B2">
      <w:pPr>
        <w:jc w:val="center"/>
        <w:rPr>
          <w:b/>
          <w:bCs/>
          <w:lang w:val="en-US"/>
        </w:rPr>
      </w:pPr>
    </w:p>
    <w:p w14:paraId="7354CC43" w14:textId="65A3D032" w:rsidR="00B0718A" w:rsidRDefault="00B0718A" w:rsidP="00DD65B2">
      <w:pPr>
        <w:jc w:val="center"/>
        <w:rPr>
          <w:lang w:val="en-US"/>
        </w:rPr>
      </w:pPr>
      <w:r>
        <w:rPr>
          <w:b/>
          <w:bCs/>
          <w:lang w:val="en-US"/>
        </w:rPr>
        <w:t>Table 1</w:t>
      </w:r>
      <w:r w:rsidR="00EB609D">
        <w:rPr>
          <w:b/>
          <w:bCs/>
          <w:lang w:val="en-US"/>
        </w:rPr>
        <w:t>2</w:t>
      </w:r>
      <w:r w:rsidRPr="00E022E1">
        <w:rPr>
          <w:lang w:val="en-US"/>
        </w:rPr>
        <w:t xml:space="preserve"> </w:t>
      </w:r>
      <w:r>
        <w:rPr>
          <w:lang w:val="en-US"/>
        </w:rPr>
        <w:t>NR TDD frequency range of FR1 (410 MHz – 7125</w:t>
      </w:r>
      <w:r w:rsidRPr="00E022E1">
        <w:rPr>
          <w:lang w:val="en-US"/>
        </w:rPr>
        <w:t xml:space="preserve"> MHz) DL peak </w:t>
      </w:r>
      <w:r>
        <w:rPr>
          <w:lang w:val="en-US"/>
        </w:rPr>
        <w:t>data rate</w:t>
      </w:r>
      <w:r w:rsidRPr="00E022E1">
        <w:rPr>
          <w:lang w:val="en-US"/>
        </w:rPr>
        <w:t xml:space="preserve"> (</w:t>
      </w:r>
      <w:r>
        <w:rPr>
          <w:lang w:val="en-US"/>
        </w:rPr>
        <w:t>Gbps</w:t>
      </w:r>
      <w:r w:rsidRPr="00E022E1">
        <w:rPr>
          <w:lang w:val="en-US"/>
        </w:rPr>
        <w:t>)</w:t>
      </w:r>
    </w:p>
    <w:p w14:paraId="172D1EC1" w14:textId="77777777" w:rsidR="00B0718A" w:rsidRDefault="00B0718A" w:rsidP="00DD65B2">
      <w:pPr>
        <w:jc w:val="center"/>
        <w:rPr>
          <w:lang w:eastAsia="zh-CN"/>
        </w:rPr>
      </w:pPr>
      <w:r>
        <w:rPr>
          <w:lang w:eastAsia="zh-CN"/>
        </w:rPr>
        <w:t>8-layer downlink transmission, with 256QAM modulation, and a maximum coding rate of 0.9258, DL/UL 4:1</w:t>
      </w:r>
    </w:p>
    <w:p w14:paraId="1A874F51" w14:textId="77777777" w:rsidR="007E72A7" w:rsidRDefault="007E72A7" w:rsidP="00DD65B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B0718A" w14:paraId="2B83BC19" w14:textId="77777777" w:rsidTr="00DD65B2">
        <w:trPr>
          <w:trHeight w:val="460"/>
        </w:trPr>
        <w:tc>
          <w:tcPr>
            <w:tcW w:w="948" w:type="dxa"/>
            <w:vAlign w:val="center"/>
          </w:tcPr>
          <w:p w14:paraId="390181B2" w14:textId="77777777" w:rsidR="00B0718A" w:rsidRDefault="00B0718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09D94A42" w14:textId="77777777" w:rsidR="00B0718A" w:rsidRPr="00AA61CF" w:rsidRDefault="00B0718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</w:p>
          <w:p w14:paraId="7002691E" w14:textId="77777777" w:rsidR="00B0718A" w:rsidRPr="00AA61CF" w:rsidRDefault="00B0718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27878502" w14:textId="77777777" w:rsidR="00B0718A" w:rsidRPr="00AA61CF" w:rsidRDefault="00B0718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</w:p>
          <w:p w14:paraId="150660CA" w14:textId="77777777" w:rsidR="00B0718A" w:rsidRPr="00AA61CF" w:rsidRDefault="00B0718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30BBEEAA" w14:textId="77777777" w:rsidR="00B0718A" w:rsidRPr="00AA61CF" w:rsidRDefault="00B0718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15</w:t>
            </w:r>
          </w:p>
          <w:p w14:paraId="34BFBBF6" w14:textId="77777777" w:rsidR="00B0718A" w:rsidRPr="00AA61CF" w:rsidRDefault="00B0718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3A9A9BCB" w14:textId="77777777" w:rsidR="00B0718A" w:rsidRPr="00AA61CF" w:rsidRDefault="00B0718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</w:t>
            </w:r>
          </w:p>
          <w:p w14:paraId="585782E7" w14:textId="77777777" w:rsidR="00B0718A" w:rsidRPr="00AA61CF" w:rsidRDefault="00B0718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3045AEB0" w14:textId="77777777" w:rsidR="00B0718A" w:rsidRPr="00AA61CF" w:rsidRDefault="00B0718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25</w:t>
            </w:r>
          </w:p>
          <w:p w14:paraId="7C4B5673" w14:textId="77777777" w:rsidR="00B0718A" w:rsidRPr="00AA61CF" w:rsidRDefault="00B0718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714062AD" w14:textId="77777777" w:rsidR="00B0718A" w:rsidRPr="00AA61CF" w:rsidRDefault="00B0718A" w:rsidP="00DD65B2">
            <w:pPr>
              <w:jc w:val="center"/>
              <w:rPr>
                <w:rFonts w:eastAsia="Yu Mincho"/>
                <w:sz w:val="16"/>
              </w:rPr>
            </w:pPr>
            <w:r w:rsidRPr="00AA61CF">
              <w:rPr>
                <w:rFonts w:eastAsia="Yu Mincho"/>
                <w:sz w:val="16"/>
              </w:rPr>
              <w:t>30</w:t>
            </w:r>
          </w:p>
          <w:p w14:paraId="4E166C13" w14:textId="77777777" w:rsidR="00B0718A" w:rsidRPr="00AA61CF" w:rsidRDefault="00B0718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4D3CFE07" w14:textId="77777777" w:rsidR="00B0718A" w:rsidRPr="00AA61CF" w:rsidRDefault="00B0718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</w:t>
            </w:r>
          </w:p>
          <w:p w14:paraId="37EA2650" w14:textId="77777777" w:rsidR="00B0718A" w:rsidRPr="00AA61CF" w:rsidRDefault="00B0718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2CCCA7C0" w14:textId="77777777" w:rsidR="00B0718A" w:rsidRPr="00AA61CF" w:rsidRDefault="00B0718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50</w:t>
            </w:r>
          </w:p>
          <w:p w14:paraId="424C3EAD" w14:textId="77777777" w:rsidR="00B0718A" w:rsidRPr="00AA61CF" w:rsidRDefault="00B0718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20D4918" w14:textId="77777777" w:rsidR="00B0718A" w:rsidRPr="00AA61CF" w:rsidRDefault="00B0718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60</w:t>
            </w:r>
          </w:p>
          <w:p w14:paraId="52B9D3D1" w14:textId="77777777" w:rsidR="00B0718A" w:rsidRPr="00AA61CF" w:rsidRDefault="00B0718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3DFFD850" w14:textId="77777777" w:rsidR="00B0718A" w:rsidRPr="00AA61CF" w:rsidRDefault="00B0718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80</w:t>
            </w:r>
          </w:p>
          <w:p w14:paraId="1B1A484F" w14:textId="77777777" w:rsidR="00B0718A" w:rsidRPr="00AA61CF" w:rsidRDefault="00B0718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5A54D0F8" w14:textId="77777777" w:rsidR="00B0718A" w:rsidRPr="00AA61CF" w:rsidRDefault="00B0718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90</w:t>
            </w:r>
          </w:p>
          <w:p w14:paraId="02E1A4DF" w14:textId="77777777" w:rsidR="00B0718A" w:rsidRPr="00AA61CF" w:rsidRDefault="00B0718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257EAC45" w14:textId="77777777" w:rsidR="00B0718A" w:rsidRPr="00AA61CF" w:rsidRDefault="00B0718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100</w:t>
            </w:r>
          </w:p>
          <w:p w14:paraId="07A3A1D2" w14:textId="77777777" w:rsidR="00B0718A" w:rsidRPr="00AA61CF" w:rsidRDefault="00B0718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B0718A" w14:paraId="534CE273" w14:textId="77777777" w:rsidTr="00DD65B2">
        <w:trPr>
          <w:trHeight w:val="460"/>
        </w:trPr>
        <w:tc>
          <w:tcPr>
            <w:tcW w:w="948" w:type="dxa"/>
            <w:vAlign w:val="center"/>
          </w:tcPr>
          <w:p w14:paraId="77D3D781" w14:textId="77777777" w:rsidR="00B0718A" w:rsidRPr="00AA61CF" w:rsidRDefault="00B0718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15</w:t>
            </w:r>
          </w:p>
        </w:tc>
        <w:tc>
          <w:tcPr>
            <w:tcW w:w="701" w:type="dxa"/>
            <w:vAlign w:val="center"/>
          </w:tcPr>
          <w:p w14:paraId="14FF7A8F" w14:textId="728819C0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0.171</w:t>
            </w:r>
          </w:p>
        </w:tc>
        <w:tc>
          <w:tcPr>
            <w:tcW w:w="701" w:type="dxa"/>
            <w:vAlign w:val="center"/>
          </w:tcPr>
          <w:p w14:paraId="280D7BD2" w14:textId="6F7D639A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0.356</w:t>
            </w:r>
          </w:p>
        </w:tc>
        <w:tc>
          <w:tcPr>
            <w:tcW w:w="700" w:type="dxa"/>
            <w:vAlign w:val="center"/>
          </w:tcPr>
          <w:p w14:paraId="2853DFC9" w14:textId="36128A83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0.541</w:t>
            </w:r>
          </w:p>
        </w:tc>
        <w:tc>
          <w:tcPr>
            <w:tcW w:w="700" w:type="dxa"/>
            <w:vAlign w:val="center"/>
          </w:tcPr>
          <w:p w14:paraId="34BCFA36" w14:textId="328C7E91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0.726</w:t>
            </w:r>
          </w:p>
        </w:tc>
        <w:tc>
          <w:tcPr>
            <w:tcW w:w="700" w:type="dxa"/>
            <w:vAlign w:val="center"/>
          </w:tcPr>
          <w:p w14:paraId="50D7BB70" w14:textId="09D2D206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0.911</w:t>
            </w:r>
          </w:p>
        </w:tc>
        <w:tc>
          <w:tcPr>
            <w:tcW w:w="700" w:type="dxa"/>
            <w:vAlign w:val="center"/>
          </w:tcPr>
          <w:p w14:paraId="7F3E9F03" w14:textId="31C6D4A5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1.09</w:t>
            </w:r>
          </w:p>
        </w:tc>
        <w:tc>
          <w:tcPr>
            <w:tcW w:w="700" w:type="dxa"/>
            <w:vAlign w:val="center"/>
          </w:tcPr>
          <w:p w14:paraId="20672270" w14:textId="5E5DDE29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1.48</w:t>
            </w:r>
          </w:p>
        </w:tc>
        <w:tc>
          <w:tcPr>
            <w:tcW w:w="700" w:type="dxa"/>
            <w:vAlign w:val="center"/>
          </w:tcPr>
          <w:p w14:paraId="2FA0EF57" w14:textId="611A1C3A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1.85</w:t>
            </w:r>
          </w:p>
        </w:tc>
        <w:tc>
          <w:tcPr>
            <w:tcW w:w="700" w:type="dxa"/>
            <w:vAlign w:val="center"/>
          </w:tcPr>
          <w:p w14:paraId="4C0AAF7A" w14:textId="77777777" w:rsidR="00B0718A" w:rsidRDefault="00B0718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  <w:vAlign w:val="center"/>
          </w:tcPr>
          <w:p w14:paraId="50FAB11D" w14:textId="77777777" w:rsidR="00B0718A" w:rsidRDefault="00B0718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  <w:vAlign w:val="center"/>
          </w:tcPr>
          <w:p w14:paraId="3C697E8D" w14:textId="77777777" w:rsidR="00B0718A" w:rsidRDefault="00B0718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  <w:vAlign w:val="center"/>
          </w:tcPr>
          <w:p w14:paraId="3628B8F8" w14:textId="77777777" w:rsidR="00B0718A" w:rsidRDefault="00B0718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B0718A" w14:paraId="2D3D2796" w14:textId="77777777" w:rsidTr="00DD65B2">
        <w:trPr>
          <w:trHeight w:val="460"/>
        </w:trPr>
        <w:tc>
          <w:tcPr>
            <w:tcW w:w="948" w:type="dxa"/>
            <w:vAlign w:val="center"/>
          </w:tcPr>
          <w:p w14:paraId="4798463F" w14:textId="77777777" w:rsidR="00B0718A" w:rsidRPr="00AA61CF" w:rsidRDefault="00B0718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30</w:t>
            </w:r>
          </w:p>
        </w:tc>
        <w:tc>
          <w:tcPr>
            <w:tcW w:w="701" w:type="dxa"/>
            <w:vAlign w:val="center"/>
          </w:tcPr>
          <w:p w14:paraId="37CBAB04" w14:textId="49442E44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0.151</w:t>
            </w:r>
          </w:p>
        </w:tc>
        <w:tc>
          <w:tcPr>
            <w:tcW w:w="701" w:type="dxa"/>
            <w:vAlign w:val="center"/>
          </w:tcPr>
          <w:p w14:paraId="1B6C80E9" w14:textId="2B924591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0.329</w:t>
            </w:r>
          </w:p>
        </w:tc>
        <w:tc>
          <w:tcPr>
            <w:tcW w:w="700" w:type="dxa"/>
            <w:vAlign w:val="center"/>
          </w:tcPr>
          <w:p w14:paraId="2C9A36EC" w14:textId="5BF9113C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0.520</w:t>
            </w:r>
          </w:p>
        </w:tc>
        <w:tc>
          <w:tcPr>
            <w:tcW w:w="700" w:type="dxa"/>
            <w:vAlign w:val="center"/>
          </w:tcPr>
          <w:p w14:paraId="3339D221" w14:textId="047AA7B5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0.698</w:t>
            </w:r>
          </w:p>
        </w:tc>
        <w:tc>
          <w:tcPr>
            <w:tcW w:w="700" w:type="dxa"/>
            <w:vAlign w:val="center"/>
          </w:tcPr>
          <w:p w14:paraId="4C3F0006" w14:textId="5583D5F2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0.890</w:t>
            </w:r>
          </w:p>
        </w:tc>
        <w:tc>
          <w:tcPr>
            <w:tcW w:w="700" w:type="dxa"/>
            <w:vAlign w:val="center"/>
          </w:tcPr>
          <w:p w14:paraId="27F0BD53" w14:textId="70426684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1.07</w:t>
            </w:r>
          </w:p>
        </w:tc>
        <w:tc>
          <w:tcPr>
            <w:tcW w:w="700" w:type="dxa"/>
            <w:vAlign w:val="center"/>
          </w:tcPr>
          <w:p w14:paraId="599BD625" w14:textId="500117AD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1.45</w:t>
            </w:r>
          </w:p>
        </w:tc>
        <w:tc>
          <w:tcPr>
            <w:tcW w:w="700" w:type="dxa"/>
            <w:vAlign w:val="center"/>
          </w:tcPr>
          <w:p w14:paraId="4A731DBC" w14:textId="0C0BB4B3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1.82</w:t>
            </w:r>
          </w:p>
        </w:tc>
        <w:tc>
          <w:tcPr>
            <w:tcW w:w="700" w:type="dxa"/>
            <w:vAlign w:val="center"/>
          </w:tcPr>
          <w:p w14:paraId="3D489C66" w14:textId="2DC215C3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2.22</w:t>
            </w:r>
          </w:p>
        </w:tc>
        <w:tc>
          <w:tcPr>
            <w:tcW w:w="700" w:type="dxa"/>
            <w:vAlign w:val="center"/>
          </w:tcPr>
          <w:p w14:paraId="25A4CC7F" w14:textId="297F5C8C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2.97</w:t>
            </w:r>
          </w:p>
        </w:tc>
        <w:tc>
          <w:tcPr>
            <w:tcW w:w="700" w:type="dxa"/>
            <w:vAlign w:val="center"/>
          </w:tcPr>
          <w:p w14:paraId="3E45FD01" w14:textId="04AAB9D8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3.35</w:t>
            </w:r>
          </w:p>
        </w:tc>
        <w:tc>
          <w:tcPr>
            <w:tcW w:w="700" w:type="dxa"/>
            <w:vAlign w:val="center"/>
          </w:tcPr>
          <w:p w14:paraId="1E07D32D" w14:textId="76A2CF8A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3.74</w:t>
            </w:r>
          </w:p>
        </w:tc>
      </w:tr>
      <w:tr w:rsidR="00B0718A" w14:paraId="43BB1E53" w14:textId="77777777" w:rsidTr="00DD65B2">
        <w:trPr>
          <w:trHeight w:val="460"/>
        </w:trPr>
        <w:tc>
          <w:tcPr>
            <w:tcW w:w="948" w:type="dxa"/>
            <w:vAlign w:val="center"/>
          </w:tcPr>
          <w:p w14:paraId="1E246ED9" w14:textId="77777777" w:rsidR="00B0718A" w:rsidRPr="00AA61CF" w:rsidRDefault="00B0718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  <w:vAlign w:val="center"/>
          </w:tcPr>
          <w:p w14:paraId="76BD4E00" w14:textId="77777777" w:rsidR="00B0718A" w:rsidRDefault="00B0718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1" w:type="dxa"/>
            <w:vAlign w:val="center"/>
          </w:tcPr>
          <w:p w14:paraId="576647AA" w14:textId="1CC75AA0" w:rsidR="00B0718A" w:rsidRDefault="00680110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0.301</w:t>
            </w:r>
          </w:p>
        </w:tc>
        <w:tc>
          <w:tcPr>
            <w:tcW w:w="700" w:type="dxa"/>
            <w:vAlign w:val="center"/>
          </w:tcPr>
          <w:p w14:paraId="09D833BB" w14:textId="2DC90215" w:rsidR="00B0718A" w:rsidRDefault="00680110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0.493</w:t>
            </w:r>
          </w:p>
        </w:tc>
        <w:tc>
          <w:tcPr>
            <w:tcW w:w="700" w:type="dxa"/>
            <w:vAlign w:val="center"/>
          </w:tcPr>
          <w:p w14:paraId="464540C9" w14:textId="633BDCE0" w:rsidR="00B0718A" w:rsidRDefault="00680110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0.657</w:t>
            </w:r>
          </w:p>
        </w:tc>
        <w:tc>
          <w:tcPr>
            <w:tcW w:w="700" w:type="dxa"/>
            <w:vAlign w:val="center"/>
          </w:tcPr>
          <w:p w14:paraId="69D32D2B" w14:textId="2331A82F" w:rsidR="00B0718A" w:rsidRDefault="00680110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0.849</w:t>
            </w:r>
          </w:p>
        </w:tc>
        <w:tc>
          <w:tcPr>
            <w:tcW w:w="700" w:type="dxa"/>
            <w:vAlign w:val="center"/>
          </w:tcPr>
          <w:p w14:paraId="6578B5C4" w14:textId="45DB416C" w:rsidR="00B0718A" w:rsidRDefault="00680110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1.04</w:t>
            </w:r>
          </w:p>
        </w:tc>
        <w:tc>
          <w:tcPr>
            <w:tcW w:w="700" w:type="dxa"/>
            <w:vAlign w:val="center"/>
          </w:tcPr>
          <w:p w14:paraId="62E216AA" w14:textId="61EB9ED8" w:rsidR="00B0718A" w:rsidRDefault="00680110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1.40</w:t>
            </w:r>
          </w:p>
        </w:tc>
        <w:tc>
          <w:tcPr>
            <w:tcW w:w="700" w:type="dxa"/>
            <w:vAlign w:val="center"/>
          </w:tcPr>
          <w:p w14:paraId="168C5845" w14:textId="37F0FFCD" w:rsidR="00B0718A" w:rsidRDefault="00680110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1.78</w:t>
            </w:r>
          </w:p>
        </w:tc>
        <w:tc>
          <w:tcPr>
            <w:tcW w:w="700" w:type="dxa"/>
            <w:vAlign w:val="center"/>
          </w:tcPr>
          <w:p w14:paraId="212300BF" w14:textId="664DA6A2" w:rsidR="00B0718A" w:rsidRDefault="00680110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2.16</w:t>
            </w:r>
          </w:p>
        </w:tc>
        <w:tc>
          <w:tcPr>
            <w:tcW w:w="700" w:type="dxa"/>
            <w:vAlign w:val="center"/>
          </w:tcPr>
          <w:p w14:paraId="56E06345" w14:textId="171C1740" w:rsidR="00B0718A" w:rsidRDefault="00680110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2.93</w:t>
            </w:r>
          </w:p>
        </w:tc>
        <w:tc>
          <w:tcPr>
            <w:tcW w:w="700" w:type="dxa"/>
            <w:vAlign w:val="center"/>
          </w:tcPr>
          <w:p w14:paraId="794D3DA2" w14:textId="13011987" w:rsidR="00B0718A" w:rsidRDefault="00680110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3.31</w:t>
            </w:r>
          </w:p>
        </w:tc>
        <w:tc>
          <w:tcPr>
            <w:tcW w:w="700" w:type="dxa"/>
            <w:vAlign w:val="center"/>
          </w:tcPr>
          <w:p w14:paraId="23425B73" w14:textId="0480BEDF" w:rsidR="00B0718A" w:rsidRDefault="00680110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3.70</w:t>
            </w:r>
          </w:p>
        </w:tc>
      </w:tr>
    </w:tbl>
    <w:p w14:paraId="5EA011BA" w14:textId="52BD37D2" w:rsidR="00B0718A" w:rsidRDefault="00B0718A" w:rsidP="00DD65B2">
      <w:pPr>
        <w:rPr>
          <w:lang w:val="en-US"/>
        </w:rPr>
      </w:pPr>
    </w:p>
    <w:p w14:paraId="569BE530" w14:textId="77777777" w:rsidR="007E72A7" w:rsidRDefault="007E72A7" w:rsidP="00DD65B2">
      <w:pPr>
        <w:rPr>
          <w:b/>
          <w:bCs/>
          <w:lang w:val="en-US"/>
        </w:rPr>
      </w:pPr>
    </w:p>
    <w:p w14:paraId="3DD4FA91" w14:textId="58770752" w:rsidR="00B0718A" w:rsidRDefault="00B0718A" w:rsidP="00DD65B2">
      <w:pPr>
        <w:jc w:val="center"/>
        <w:rPr>
          <w:lang w:val="en-US"/>
        </w:rPr>
      </w:pPr>
      <w:r>
        <w:rPr>
          <w:b/>
          <w:bCs/>
          <w:lang w:val="en-US"/>
        </w:rPr>
        <w:t>Table 1</w:t>
      </w:r>
      <w:r w:rsidR="00EB609D">
        <w:rPr>
          <w:b/>
          <w:bCs/>
          <w:lang w:val="en-US"/>
        </w:rPr>
        <w:t>3</w:t>
      </w:r>
      <w:r w:rsidRPr="00E022E1">
        <w:rPr>
          <w:lang w:val="en-US"/>
        </w:rPr>
        <w:t xml:space="preserve"> </w:t>
      </w:r>
      <w:r>
        <w:rPr>
          <w:lang w:val="en-US"/>
        </w:rPr>
        <w:t>NR TDD frequency range of FR1 (410 MHz – 7125</w:t>
      </w:r>
      <w:r w:rsidRPr="00E022E1">
        <w:rPr>
          <w:lang w:val="en-US"/>
        </w:rPr>
        <w:t xml:space="preserve"> MHz) </w:t>
      </w:r>
      <w:r>
        <w:rPr>
          <w:lang w:val="en-US"/>
        </w:rPr>
        <w:t>UL</w:t>
      </w:r>
      <w:r w:rsidRPr="00E022E1">
        <w:rPr>
          <w:lang w:val="en-US"/>
        </w:rPr>
        <w:t xml:space="preserve"> peak </w:t>
      </w:r>
      <w:r>
        <w:rPr>
          <w:lang w:val="en-US"/>
        </w:rPr>
        <w:t>data rate</w:t>
      </w:r>
      <w:r w:rsidRPr="00E022E1">
        <w:rPr>
          <w:lang w:val="en-US"/>
        </w:rPr>
        <w:t xml:space="preserve"> (</w:t>
      </w:r>
      <w:r>
        <w:rPr>
          <w:lang w:val="en-US"/>
        </w:rPr>
        <w:t>Gbps</w:t>
      </w:r>
      <w:r w:rsidRPr="00E022E1">
        <w:rPr>
          <w:lang w:val="en-US"/>
        </w:rPr>
        <w:t>)</w:t>
      </w:r>
    </w:p>
    <w:p w14:paraId="2E9D5907" w14:textId="77777777" w:rsidR="00B0718A" w:rsidRDefault="00B0718A" w:rsidP="00DD65B2">
      <w:pPr>
        <w:jc w:val="center"/>
        <w:rPr>
          <w:lang w:eastAsia="zh-CN"/>
        </w:rPr>
      </w:pPr>
      <w:r>
        <w:rPr>
          <w:lang w:eastAsia="zh-CN"/>
        </w:rPr>
        <w:t>4-layer uplink transmission, with 256QAM modulation, and a maximum coding rate of 0.9258, DL/UL 4:1</w:t>
      </w:r>
    </w:p>
    <w:p w14:paraId="4F49A06A" w14:textId="77777777" w:rsidR="007E72A7" w:rsidRDefault="007E72A7" w:rsidP="00DD65B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B0718A" w14:paraId="418B01CA" w14:textId="77777777" w:rsidTr="00DD65B2">
        <w:trPr>
          <w:trHeight w:val="460"/>
        </w:trPr>
        <w:tc>
          <w:tcPr>
            <w:tcW w:w="948" w:type="dxa"/>
            <w:vAlign w:val="center"/>
          </w:tcPr>
          <w:p w14:paraId="656D3EE7" w14:textId="77777777" w:rsidR="00B0718A" w:rsidRDefault="00B0718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2B130A32" w14:textId="77777777" w:rsidR="00B0718A" w:rsidRPr="00AA61CF" w:rsidRDefault="00B0718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</w:p>
          <w:p w14:paraId="147AF7AF" w14:textId="77777777" w:rsidR="00B0718A" w:rsidRPr="00AA61CF" w:rsidRDefault="00B0718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4C7CAE0B" w14:textId="77777777" w:rsidR="00B0718A" w:rsidRPr="00AA61CF" w:rsidRDefault="00B0718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</w:p>
          <w:p w14:paraId="662DC20C" w14:textId="77777777" w:rsidR="00B0718A" w:rsidRPr="00AA61CF" w:rsidRDefault="00B0718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47A2F56" w14:textId="77777777" w:rsidR="00B0718A" w:rsidRPr="00AA61CF" w:rsidRDefault="00B0718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15</w:t>
            </w:r>
          </w:p>
          <w:p w14:paraId="5E76BC13" w14:textId="77777777" w:rsidR="00B0718A" w:rsidRPr="00AA61CF" w:rsidRDefault="00B0718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C1A09D6" w14:textId="77777777" w:rsidR="00B0718A" w:rsidRPr="00AA61CF" w:rsidRDefault="00B0718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</w:t>
            </w:r>
          </w:p>
          <w:p w14:paraId="5DF7FD8E" w14:textId="77777777" w:rsidR="00B0718A" w:rsidRPr="00AA61CF" w:rsidRDefault="00B0718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DC70DE0" w14:textId="77777777" w:rsidR="00B0718A" w:rsidRPr="00AA61CF" w:rsidRDefault="00B0718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25</w:t>
            </w:r>
          </w:p>
          <w:p w14:paraId="286C0353" w14:textId="77777777" w:rsidR="00B0718A" w:rsidRPr="00AA61CF" w:rsidRDefault="00B0718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52C83C6D" w14:textId="77777777" w:rsidR="00B0718A" w:rsidRPr="00AA61CF" w:rsidRDefault="00B0718A" w:rsidP="00DD65B2">
            <w:pPr>
              <w:jc w:val="center"/>
              <w:rPr>
                <w:rFonts w:eastAsia="Yu Mincho"/>
                <w:sz w:val="16"/>
              </w:rPr>
            </w:pPr>
            <w:r w:rsidRPr="00AA61CF">
              <w:rPr>
                <w:rFonts w:eastAsia="Yu Mincho"/>
                <w:sz w:val="16"/>
              </w:rPr>
              <w:t>30</w:t>
            </w:r>
          </w:p>
          <w:p w14:paraId="66C3010E" w14:textId="77777777" w:rsidR="00B0718A" w:rsidRPr="00AA61CF" w:rsidRDefault="00B0718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620C5FA8" w14:textId="77777777" w:rsidR="00B0718A" w:rsidRPr="00AA61CF" w:rsidRDefault="00B0718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</w:t>
            </w:r>
          </w:p>
          <w:p w14:paraId="0FBEAD9D" w14:textId="77777777" w:rsidR="00B0718A" w:rsidRPr="00AA61CF" w:rsidRDefault="00B0718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211723FF" w14:textId="77777777" w:rsidR="00B0718A" w:rsidRPr="00AA61CF" w:rsidRDefault="00B0718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50</w:t>
            </w:r>
          </w:p>
          <w:p w14:paraId="0FCCBDD0" w14:textId="77777777" w:rsidR="00B0718A" w:rsidRPr="00AA61CF" w:rsidRDefault="00B0718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3C9A95AD" w14:textId="77777777" w:rsidR="00B0718A" w:rsidRPr="00AA61CF" w:rsidRDefault="00B0718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60</w:t>
            </w:r>
          </w:p>
          <w:p w14:paraId="116CE1C5" w14:textId="77777777" w:rsidR="00B0718A" w:rsidRPr="00AA61CF" w:rsidRDefault="00B0718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191E06D4" w14:textId="77777777" w:rsidR="00B0718A" w:rsidRPr="00AA61CF" w:rsidRDefault="00B0718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80</w:t>
            </w:r>
          </w:p>
          <w:p w14:paraId="2FF8B8B3" w14:textId="77777777" w:rsidR="00B0718A" w:rsidRPr="00AA61CF" w:rsidRDefault="00B0718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73D28204" w14:textId="77777777" w:rsidR="00B0718A" w:rsidRPr="00AA61CF" w:rsidRDefault="00B0718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90</w:t>
            </w:r>
          </w:p>
          <w:p w14:paraId="6DD2CF3B" w14:textId="77777777" w:rsidR="00B0718A" w:rsidRPr="00AA61CF" w:rsidRDefault="00B0718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4B650D55" w14:textId="77777777" w:rsidR="00B0718A" w:rsidRPr="00AA61CF" w:rsidRDefault="00B0718A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100</w:t>
            </w:r>
          </w:p>
          <w:p w14:paraId="7EBD5C4D" w14:textId="77777777" w:rsidR="00B0718A" w:rsidRPr="00AA61CF" w:rsidRDefault="00B0718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B0718A" w14:paraId="1F8647AF" w14:textId="77777777" w:rsidTr="00DD65B2">
        <w:trPr>
          <w:trHeight w:val="460"/>
        </w:trPr>
        <w:tc>
          <w:tcPr>
            <w:tcW w:w="948" w:type="dxa"/>
            <w:vAlign w:val="center"/>
          </w:tcPr>
          <w:p w14:paraId="0CD07A21" w14:textId="77777777" w:rsidR="00B0718A" w:rsidRPr="00AA61CF" w:rsidRDefault="00B0718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15</w:t>
            </w:r>
          </w:p>
        </w:tc>
        <w:tc>
          <w:tcPr>
            <w:tcW w:w="701" w:type="dxa"/>
            <w:vAlign w:val="center"/>
          </w:tcPr>
          <w:p w14:paraId="34E9EC00" w14:textId="1BDA5B92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  <w:tc>
          <w:tcPr>
            <w:tcW w:w="701" w:type="dxa"/>
            <w:vAlign w:val="center"/>
          </w:tcPr>
          <w:p w14:paraId="0D0F95B1" w14:textId="45E8190F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0.048</w:t>
            </w:r>
          </w:p>
        </w:tc>
        <w:tc>
          <w:tcPr>
            <w:tcW w:w="700" w:type="dxa"/>
            <w:vAlign w:val="center"/>
          </w:tcPr>
          <w:p w14:paraId="29EE6B0A" w14:textId="46573E40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0.072</w:t>
            </w:r>
          </w:p>
        </w:tc>
        <w:tc>
          <w:tcPr>
            <w:tcW w:w="700" w:type="dxa"/>
            <w:vAlign w:val="center"/>
          </w:tcPr>
          <w:p w14:paraId="3A8D19E7" w14:textId="077AF33D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0.097</w:t>
            </w:r>
          </w:p>
        </w:tc>
        <w:tc>
          <w:tcPr>
            <w:tcW w:w="700" w:type="dxa"/>
            <w:vAlign w:val="center"/>
          </w:tcPr>
          <w:p w14:paraId="52278065" w14:textId="56AEDB77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0.122</w:t>
            </w:r>
          </w:p>
        </w:tc>
        <w:tc>
          <w:tcPr>
            <w:tcW w:w="700" w:type="dxa"/>
            <w:vAlign w:val="center"/>
          </w:tcPr>
          <w:p w14:paraId="5075757D" w14:textId="04716735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0.146</w:t>
            </w:r>
          </w:p>
        </w:tc>
        <w:tc>
          <w:tcPr>
            <w:tcW w:w="700" w:type="dxa"/>
            <w:vAlign w:val="center"/>
          </w:tcPr>
          <w:p w14:paraId="45290B3C" w14:textId="07F6A92B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0.198</w:t>
            </w:r>
          </w:p>
        </w:tc>
        <w:tc>
          <w:tcPr>
            <w:tcW w:w="700" w:type="dxa"/>
            <w:vAlign w:val="center"/>
          </w:tcPr>
          <w:p w14:paraId="52A0D9EF" w14:textId="4CBF622B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0.247</w:t>
            </w:r>
          </w:p>
        </w:tc>
        <w:tc>
          <w:tcPr>
            <w:tcW w:w="700" w:type="dxa"/>
            <w:vAlign w:val="center"/>
          </w:tcPr>
          <w:p w14:paraId="7FD57731" w14:textId="77777777" w:rsidR="00B0718A" w:rsidRDefault="00B0718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  <w:vAlign w:val="center"/>
          </w:tcPr>
          <w:p w14:paraId="3B4A9D0B" w14:textId="77777777" w:rsidR="00B0718A" w:rsidRDefault="00B0718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  <w:vAlign w:val="center"/>
          </w:tcPr>
          <w:p w14:paraId="38778DC8" w14:textId="77777777" w:rsidR="00B0718A" w:rsidRDefault="00B0718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  <w:vAlign w:val="center"/>
          </w:tcPr>
          <w:p w14:paraId="5D8702E1" w14:textId="77777777" w:rsidR="00B0718A" w:rsidRDefault="00B0718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B0718A" w14:paraId="5D780697" w14:textId="77777777" w:rsidTr="00DD65B2">
        <w:trPr>
          <w:trHeight w:val="460"/>
        </w:trPr>
        <w:tc>
          <w:tcPr>
            <w:tcW w:w="948" w:type="dxa"/>
            <w:vAlign w:val="center"/>
          </w:tcPr>
          <w:p w14:paraId="7D78C529" w14:textId="77777777" w:rsidR="00B0718A" w:rsidRPr="00AA61CF" w:rsidRDefault="00B0718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30</w:t>
            </w:r>
          </w:p>
        </w:tc>
        <w:tc>
          <w:tcPr>
            <w:tcW w:w="701" w:type="dxa"/>
            <w:vAlign w:val="center"/>
          </w:tcPr>
          <w:p w14:paraId="1D30A5C4" w14:textId="7DF0B6F4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0.020</w:t>
            </w:r>
          </w:p>
        </w:tc>
        <w:tc>
          <w:tcPr>
            <w:tcW w:w="701" w:type="dxa"/>
            <w:vAlign w:val="center"/>
          </w:tcPr>
          <w:p w14:paraId="6E540B05" w14:textId="4A196557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0.044</w:t>
            </w:r>
          </w:p>
        </w:tc>
        <w:tc>
          <w:tcPr>
            <w:tcW w:w="700" w:type="dxa"/>
            <w:vAlign w:val="center"/>
          </w:tcPr>
          <w:p w14:paraId="2937AF36" w14:textId="785B6D21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0.069</w:t>
            </w:r>
          </w:p>
        </w:tc>
        <w:tc>
          <w:tcPr>
            <w:tcW w:w="700" w:type="dxa"/>
            <w:vAlign w:val="center"/>
          </w:tcPr>
          <w:p w14:paraId="58496FC6" w14:textId="48EA3609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0.093</w:t>
            </w:r>
          </w:p>
        </w:tc>
        <w:tc>
          <w:tcPr>
            <w:tcW w:w="700" w:type="dxa"/>
            <w:vAlign w:val="center"/>
          </w:tcPr>
          <w:p w14:paraId="1451F1DF" w14:textId="553AE3EB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0.119</w:t>
            </w:r>
          </w:p>
        </w:tc>
        <w:tc>
          <w:tcPr>
            <w:tcW w:w="700" w:type="dxa"/>
            <w:vAlign w:val="center"/>
          </w:tcPr>
          <w:p w14:paraId="26B8C3EA" w14:textId="1C4C8708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0.143</w:t>
            </w:r>
          </w:p>
        </w:tc>
        <w:tc>
          <w:tcPr>
            <w:tcW w:w="700" w:type="dxa"/>
            <w:vAlign w:val="center"/>
          </w:tcPr>
          <w:p w14:paraId="1940C1ED" w14:textId="1EE6F7F1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0.194</w:t>
            </w:r>
          </w:p>
        </w:tc>
        <w:tc>
          <w:tcPr>
            <w:tcW w:w="700" w:type="dxa"/>
            <w:vAlign w:val="center"/>
          </w:tcPr>
          <w:p w14:paraId="645C535F" w14:textId="39A6B17D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0.243</w:t>
            </w:r>
          </w:p>
        </w:tc>
        <w:tc>
          <w:tcPr>
            <w:tcW w:w="700" w:type="dxa"/>
            <w:vAlign w:val="center"/>
          </w:tcPr>
          <w:p w14:paraId="44F75F25" w14:textId="3415E993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0.297</w:t>
            </w:r>
          </w:p>
        </w:tc>
        <w:tc>
          <w:tcPr>
            <w:tcW w:w="700" w:type="dxa"/>
            <w:vAlign w:val="center"/>
          </w:tcPr>
          <w:p w14:paraId="6109DD0A" w14:textId="358D0375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0.397</w:t>
            </w:r>
          </w:p>
        </w:tc>
        <w:tc>
          <w:tcPr>
            <w:tcW w:w="700" w:type="dxa"/>
            <w:vAlign w:val="center"/>
          </w:tcPr>
          <w:p w14:paraId="5271B73A" w14:textId="685507FA" w:rsidR="00B0718A" w:rsidRDefault="00FB18F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0.449</w:t>
            </w:r>
          </w:p>
        </w:tc>
        <w:tc>
          <w:tcPr>
            <w:tcW w:w="700" w:type="dxa"/>
            <w:vAlign w:val="center"/>
          </w:tcPr>
          <w:p w14:paraId="6F8F09CE" w14:textId="250C153D" w:rsidR="00B0718A" w:rsidRDefault="009F6454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0.500</w:t>
            </w:r>
          </w:p>
        </w:tc>
      </w:tr>
      <w:tr w:rsidR="00B0718A" w14:paraId="7EA3FF5E" w14:textId="77777777" w:rsidTr="00DD65B2">
        <w:trPr>
          <w:trHeight w:val="460"/>
        </w:trPr>
        <w:tc>
          <w:tcPr>
            <w:tcW w:w="948" w:type="dxa"/>
            <w:vAlign w:val="center"/>
          </w:tcPr>
          <w:p w14:paraId="60A1B847" w14:textId="77777777" w:rsidR="00B0718A" w:rsidRPr="00AA61CF" w:rsidRDefault="00B0718A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  <w:vAlign w:val="center"/>
          </w:tcPr>
          <w:p w14:paraId="37276B70" w14:textId="77777777" w:rsidR="00B0718A" w:rsidRDefault="00B0718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1" w:type="dxa"/>
            <w:vAlign w:val="center"/>
          </w:tcPr>
          <w:p w14:paraId="7E5173E3" w14:textId="3FDBC096" w:rsidR="00B0718A" w:rsidRDefault="00680110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0.040</w:t>
            </w:r>
          </w:p>
        </w:tc>
        <w:tc>
          <w:tcPr>
            <w:tcW w:w="700" w:type="dxa"/>
            <w:vAlign w:val="center"/>
          </w:tcPr>
          <w:p w14:paraId="15D7C141" w14:textId="4B823D02" w:rsidR="00B0718A" w:rsidRDefault="00680110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0.066</w:t>
            </w:r>
          </w:p>
        </w:tc>
        <w:tc>
          <w:tcPr>
            <w:tcW w:w="700" w:type="dxa"/>
            <w:vAlign w:val="center"/>
          </w:tcPr>
          <w:p w14:paraId="111DA2C6" w14:textId="6B15DCED" w:rsidR="00B0718A" w:rsidRDefault="00680110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0.088</w:t>
            </w:r>
          </w:p>
        </w:tc>
        <w:tc>
          <w:tcPr>
            <w:tcW w:w="700" w:type="dxa"/>
            <w:vAlign w:val="center"/>
          </w:tcPr>
          <w:p w14:paraId="38FA3656" w14:textId="2F6A03E3" w:rsidR="00B0718A" w:rsidRDefault="00680110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0.113</w:t>
            </w:r>
          </w:p>
        </w:tc>
        <w:tc>
          <w:tcPr>
            <w:tcW w:w="700" w:type="dxa"/>
            <w:vAlign w:val="center"/>
          </w:tcPr>
          <w:p w14:paraId="720341C1" w14:textId="0D116113" w:rsidR="00B0718A" w:rsidRDefault="00680110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0.139</w:t>
            </w:r>
          </w:p>
        </w:tc>
        <w:tc>
          <w:tcPr>
            <w:tcW w:w="700" w:type="dxa"/>
            <w:vAlign w:val="center"/>
          </w:tcPr>
          <w:p w14:paraId="01FE7204" w14:textId="22103E69" w:rsidR="00B0718A" w:rsidRDefault="00680110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0.187</w:t>
            </w:r>
          </w:p>
        </w:tc>
        <w:tc>
          <w:tcPr>
            <w:tcW w:w="700" w:type="dxa"/>
            <w:vAlign w:val="center"/>
          </w:tcPr>
          <w:p w14:paraId="1968C252" w14:textId="1076F791" w:rsidR="00B0718A" w:rsidRDefault="00680110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0.238</w:t>
            </w:r>
          </w:p>
        </w:tc>
        <w:tc>
          <w:tcPr>
            <w:tcW w:w="700" w:type="dxa"/>
            <w:vAlign w:val="center"/>
          </w:tcPr>
          <w:p w14:paraId="62F3867A" w14:textId="1362C492" w:rsidR="00B0718A" w:rsidRDefault="00680110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0.289</w:t>
            </w:r>
          </w:p>
        </w:tc>
        <w:tc>
          <w:tcPr>
            <w:tcW w:w="700" w:type="dxa"/>
            <w:vAlign w:val="center"/>
          </w:tcPr>
          <w:p w14:paraId="337ADA20" w14:textId="0F23154F" w:rsidR="00B0718A" w:rsidRDefault="00680110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0.392</w:t>
            </w:r>
          </w:p>
        </w:tc>
        <w:tc>
          <w:tcPr>
            <w:tcW w:w="700" w:type="dxa"/>
            <w:vAlign w:val="center"/>
          </w:tcPr>
          <w:p w14:paraId="0B0ED55F" w14:textId="285891DD" w:rsidR="00B0718A" w:rsidRDefault="00680110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0.443</w:t>
            </w:r>
          </w:p>
        </w:tc>
        <w:tc>
          <w:tcPr>
            <w:tcW w:w="700" w:type="dxa"/>
            <w:vAlign w:val="center"/>
          </w:tcPr>
          <w:p w14:paraId="531C4586" w14:textId="30DA21B4" w:rsidR="00B0718A" w:rsidRDefault="00680110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0.494</w:t>
            </w:r>
          </w:p>
        </w:tc>
      </w:tr>
    </w:tbl>
    <w:p w14:paraId="31C1CFFC" w14:textId="5147F664" w:rsidR="00B0718A" w:rsidRDefault="00B0718A" w:rsidP="00DD65B2">
      <w:pPr>
        <w:rPr>
          <w:lang w:val="en-US"/>
        </w:rPr>
      </w:pPr>
    </w:p>
    <w:p w14:paraId="1459AD0B" w14:textId="413158F5" w:rsidR="00107B6E" w:rsidRDefault="00107B6E" w:rsidP="00DD65B2">
      <w:pPr>
        <w:jc w:val="center"/>
        <w:rPr>
          <w:lang w:val="en-US"/>
        </w:rPr>
      </w:pPr>
      <w:r>
        <w:rPr>
          <w:b/>
          <w:bCs/>
          <w:lang w:val="en-US"/>
        </w:rPr>
        <w:t xml:space="preserve">Table </w:t>
      </w:r>
      <w:r w:rsidR="00EB609D">
        <w:rPr>
          <w:b/>
          <w:bCs/>
          <w:lang w:val="en-US"/>
        </w:rPr>
        <w:t>14</w:t>
      </w:r>
      <w:r w:rsidR="00EB609D" w:rsidRPr="00E022E1">
        <w:rPr>
          <w:lang w:val="en-US"/>
        </w:rPr>
        <w:t xml:space="preserve"> </w:t>
      </w:r>
      <w:r>
        <w:rPr>
          <w:lang w:val="en-US"/>
        </w:rPr>
        <w:t>NR TDD frequency range of FR2 (24250 MHz – 52600</w:t>
      </w:r>
      <w:r w:rsidRPr="00017802">
        <w:rPr>
          <w:lang w:val="en-US"/>
        </w:rPr>
        <w:t xml:space="preserve"> MHz</w:t>
      </w:r>
      <w:r w:rsidRPr="00E022E1">
        <w:rPr>
          <w:lang w:val="en-US"/>
        </w:rPr>
        <w:t xml:space="preserve">) DL peak </w:t>
      </w:r>
      <w:r>
        <w:rPr>
          <w:lang w:val="en-US"/>
        </w:rPr>
        <w:t>data rate</w:t>
      </w:r>
      <w:r w:rsidRPr="00E022E1">
        <w:rPr>
          <w:lang w:val="en-US"/>
        </w:rPr>
        <w:t xml:space="preserve"> (</w:t>
      </w:r>
      <w:r>
        <w:rPr>
          <w:lang w:val="en-US"/>
        </w:rPr>
        <w:t>Gbps</w:t>
      </w:r>
      <w:r w:rsidRPr="00E022E1">
        <w:rPr>
          <w:lang w:val="en-US"/>
        </w:rPr>
        <w:t>)</w:t>
      </w:r>
    </w:p>
    <w:p w14:paraId="4F503971" w14:textId="77777777" w:rsidR="00107B6E" w:rsidRDefault="00107B6E" w:rsidP="00DD65B2">
      <w:pPr>
        <w:jc w:val="center"/>
        <w:rPr>
          <w:lang w:eastAsia="zh-CN"/>
        </w:rPr>
      </w:pPr>
      <w:r>
        <w:rPr>
          <w:lang w:eastAsia="zh-CN"/>
        </w:rPr>
        <w:t>8-layer downlink transmission, with 256QAM modulation, and a maximum coding rate of 0.9258, DL/UL 4:1</w:t>
      </w:r>
    </w:p>
    <w:p w14:paraId="35B444BF" w14:textId="77777777" w:rsidR="007E72A7" w:rsidRDefault="007E72A7" w:rsidP="00DD65B2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</w:tblGrid>
      <w:tr w:rsidR="00107B6E" w14:paraId="2BD280C9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53B8719A" w14:textId="77777777" w:rsidR="00107B6E" w:rsidRDefault="00107B6E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65EAFAB5" w14:textId="77777777" w:rsidR="00107B6E" w:rsidRPr="00AA61CF" w:rsidRDefault="00107B6E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02A0E2D3" w14:textId="77777777" w:rsidR="00107B6E" w:rsidRPr="00AA61CF" w:rsidRDefault="00107B6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712A6FCC" w14:textId="77777777" w:rsidR="00107B6E" w:rsidRPr="00AA61CF" w:rsidRDefault="00107B6E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040FD954" w14:textId="77777777" w:rsidR="00107B6E" w:rsidRPr="00AA61CF" w:rsidRDefault="00107B6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6F112B6D" w14:textId="77777777" w:rsidR="00107B6E" w:rsidRPr="00AA61CF" w:rsidRDefault="00107B6E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200</w:t>
            </w:r>
          </w:p>
          <w:p w14:paraId="00BBF27B" w14:textId="77777777" w:rsidR="00107B6E" w:rsidRPr="00AA61CF" w:rsidRDefault="00107B6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45521227" w14:textId="77777777" w:rsidR="00107B6E" w:rsidRPr="00AA61CF" w:rsidRDefault="00107B6E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400</w:t>
            </w:r>
          </w:p>
          <w:p w14:paraId="788F4838" w14:textId="77777777" w:rsidR="00107B6E" w:rsidRPr="00AA61CF" w:rsidRDefault="00107B6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107B6E" w14:paraId="2F632F7B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45A35CFC" w14:textId="77777777" w:rsidR="00107B6E" w:rsidRPr="00AA61CF" w:rsidRDefault="00107B6E" w:rsidP="00DD65B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73311B4" w14:textId="23E8784A" w:rsidR="00107B6E" w:rsidRPr="00FD704E" w:rsidRDefault="00E3298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1.81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D3AFE47" w14:textId="3F4A4CCA" w:rsidR="00107B6E" w:rsidRPr="00FD704E" w:rsidRDefault="00E3298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3.61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B39EC79" w14:textId="1B0A84D7" w:rsidR="00107B6E" w:rsidRPr="00FD704E" w:rsidRDefault="00E3298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7.23</w:t>
            </w:r>
          </w:p>
        </w:tc>
        <w:tc>
          <w:tcPr>
            <w:tcW w:w="700" w:type="dxa"/>
            <w:vAlign w:val="center"/>
          </w:tcPr>
          <w:p w14:paraId="4831890A" w14:textId="77777777" w:rsidR="00107B6E" w:rsidRDefault="00107B6E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107B6E" w14:paraId="3986B533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0B215C47" w14:textId="77777777" w:rsidR="00107B6E" w:rsidRPr="00AA61CF" w:rsidRDefault="00107B6E" w:rsidP="00DD65B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120</w:t>
            </w:r>
          </w:p>
        </w:tc>
        <w:tc>
          <w:tcPr>
            <w:tcW w:w="701" w:type="dxa"/>
            <w:vAlign w:val="center"/>
          </w:tcPr>
          <w:p w14:paraId="19DDB410" w14:textId="66BC0F32" w:rsidR="00107B6E" w:rsidRDefault="003A733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1.75</w:t>
            </w:r>
          </w:p>
        </w:tc>
        <w:tc>
          <w:tcPr>
            <w:tcW w:w="701" w:type="dxa"/>
            <w:vAlign w:val="center"/>
          </w:tcPr>
          <w:p w14:paraId="695179FD" w14:textId="53A907D3" w:rsidR="00107B6E" w:rsidRDefault="003A733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3.61</w:t>
            </w:r>
          </w:p>
        </w:tc>
        <w:tc>
          <w:tcPr>
            <w:tcW w:w="700" w:type="dxa"/>
            <w:vAlign w:val="center"/>
          </w:tcPr>
          <w:p w14:paraId="75C1D73E" w14:textId="18045192" w:rsidR="00107B6E" w:rsidRDefault="003A733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7.23</w:t>
            </w:r>
          </w:p>
        </w:tc>
        <w:tc>
          <w:tcPr>
            <w:tcW w:w="700" w:type="dxa"/>
            <w:vAlign w:val="center"/>
          </w:tcPr>
          <w:p w14:paraId="286B5ACA" w14:textId="5EA86A0B" w:rsidR="00107B6E" w:rsidRDefault="003A733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14.46</w:t>
            </w:r>
          </w:p>
        </w:tc>
      </w:tr>
    </w:tbl>
    <w:p w14:paraId="112A5CBE" w14:textId="77777777" w:rsidR="00F052B7" w:rsidRDefault="00F052B7" w:rsidP="00DD65B2">
      <w:pPr>
        <w:rPr>
          <w:lang w:val="en-US"/>
        </w:rPr>
      </w:pPr>
    </w:p>
    <w:p w14:paraId="75AA06ED" w14:textId="15A5B556" w:rsidR="005A73EC" w:rsidRDefault="005A73EC" w:rsidP="00DD65B2">
      <w:pPr>
        <w:rPr>
          <w:lang w:val="en-US"/>
        </w:rPr>
      </w:pPr>
      <w:r>
        <w:rPr>
          <w:lang w:val="en-US"/>
        </w:rPr>
        <w:t>If we assume %100 transmission in the downlink instead of %80 evaluation shown in Table 6, we get:</w:t>
      </w:r>
    </w:p>
    <w:p w14:paraId="3A5979E2" w14:textId="77777777" w:rsidR="00F052B7" w:rsidRDefault="00F052B7" w:rsidP="00DD65B2">
      <w:pPr>
        <w:rPr>
          <w:b/>
          <w:bCs/>
          <w:lang w:val="en-US"/>
        </w:rPr>
      </w:pPr>
    </w:p>
    <w:p w14:paraId="1B1D86C0" w14:textId="1BFFC6C2" w:rsidR="005A73EC" w:rsidRDefault="005A73EC" w:rsidP="00DD65B2">
      <w:pPr>
        <w:jc w:val="center"/>
        <w:rPr>
          <w:lang w:val="en-US"/>
        </w:rPr>
      </w:pPr>
      <w:r>
        <w:rPr>
          <w:b/>
          <w:bCs/>
          <w:lang w:val="en-US"/>
        </w:rPr>
        <w:t xml:space="preserve">Table </w:t>
      </w:r>
      <w:r w:rsidR="00EB609D">
        <w:rPr>
          <w:b/>
          <w:bCs/>
          <w:lang w:val="en-US"/>
        </w:rPr>
        <w:t>15</w:t>
      </w:r>
      <w:r w:rsidR="00EB609D" w:rsidRPr="00E022E1">
        <w:rPr>
          <w:lang w:val="en-US"/>
        </w:rPr>
        <w:t xml:space="preserve"> </w:t>
      </w:r>
      <w:r>
        <w:rPr>
          <w:lang w:val="en-US"/>
        </w:rPr>
        <w:t>NR TDD frequency range of FR2 (24250 MHz – 52600</w:t>
      </w:r>
      <w:r w:rsidRPr="00017802">
        <w:rPr>
          <w:lang w:val="en-US"/>
        </w:rPr>
        <w:t xml:space="preserve"> MHz</w:t>
      </w:r>
      <w:r w:rsidRPr="00E022E1">
        <w:rPr>
          <w:lang w:val="en-US"/>
        </w:rPr>
        <w:t xml:space="preserve">) DL peak </w:t>
      </w:r>
      <w:r>
        <w:rPr>
          <w:lang w:val="en-US"/>
        </w:rPr>
        <w:t>data rate</w:t>
      </w:r>
      <w:r w:rsidRPr="00E022E1">
        <w:rPr>
          <w:lang w:val="en-US"/>
        </w:rPr>
        <w:t xml:space="preserve"> (</w:t>
      </w:r>
      <w:r>
        <w:rPr>
          <w:lang w:val="en-US"/>
        </w:rPr>
        <w:t>Gbps</w:t>
      </w:r>
      <w:r w:rsidRPr="00E022E1">
        <w:rPr>
          <w:lang w:val="en-US"/>
        </w:rPr>
        <w:t>)</w:t>
      </w:r>
    </w:p>
    <w:p w14:paraId="56C72B32" w14:textId="44528575" w:rsidR="005A73EC" w:rsidRDefault="005A73EC" w:rsidP="00DD65B2">
      <w:pPr>
        <w:jc w:val="center"/>
        <w:rPr>
          <w:lang w:eastAsia="zh-CN"/>
        </w:rPr>
      </w:pPr>
      <w:r>
        <w:rPr>
          <w:lang w:eastAsia="zh-CN"/>
        </w:rPr>
        <w:t>8-layer downlink transmission, with 256QAM modulation, and a maximum coding rate of 0.9258, DL only</w:t>
      </w:r>
    </w:p>
    <w:p w14:paraId="5FBE12D9" w14:textId="77777777" w:rsidR="007E72A7" w:rsidRDefault="007E72A7" w:rsidP="00DD65B2">
      <w:pPr>
        <w:jc w:val="center"/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</w:tblGrid>
      <w:tr w:rsidR="005A73EC" w14:paraId="2A4A57CF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16D8B3BA" w14:textId="77777777" w:rsidR="005A73EC" w:rsidRDefault="005A73EC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1273A357" w14:textId="77777777" w:rsidR="005A73EC" w:rsidRPr="00AA61CF" w:rsidRDefault="005A73EC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794DFFFE" w14:textId="77777777" w:rsidR="005A73EC" w:rsidRPr="00AA61CF" w:rsidRDefault="005A73EC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4062A6BD" w14:textId="77777777" w:rsidR="005A73EC" w:rsidRPr="00AA61CF" w:rsidRDefault="005A73EC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23A3770E" w14:textId="77777777" w:rsidR="005A73EC" w:rsidRPr="00AA61CF" w:rsidRDefault="005A73EC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511B181F" w14:textId="77777777" w:rsidR="005A73EC" w:rsidRPr="00AA61CF" w:rsidRDefault="005A73EC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200</w:t>
            </w:r>
          </w:p>
          <w:p w14:paraId="17793468" w14:textId="77777777" w:rsidR="005A73EC" w:rsidRPr="00AA61CF" w:rsidRDefault="005A73EC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1FDC36C6" w14:textId="77777777" w:rsidR="005A73EC" w:rsidRPr="00AA61CF" w:rsidRDefault="005A73EC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400</w:t>
            </w:r>
          </w:p>
          <w:p w14:paraId="5E2E1E39" w14:textId="77777777" w:rsidR="005A73EC" w:rsidRPr="00AA61CF" w:rsidRDefault="005A73EC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5A73EC" w14:paraId="525FE82E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011777A5" w14:textId="77777777" w:rsidR="005A73EC" w:rsidRPr="00AA61CF" w:rsidRDefault="005A73EC" w:rsidP="00DD65B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C55A771" w14:textId="3215CD75" w:rsidR="005A73EC" w:rsidRPr="00E3298A" w:rsidRDefault="00E3298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2.26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D058439" w14:textId="2E62A716" w:rsidR="005A73EC" w:rsidRPr="00E3298A" w:rsidRDefault="00E3298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4.52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7AE72EB" w14:textId="54F754D9" w:rsidR="005A73EC" w:rsidRPr="00E3298A" w:rsidRDefault="00E3298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9.04</w:t>
            </w:r>
          </w:p>
        </w:tc>
        <w:tc>
          <w:tcPr>
            <w:tcW w:w="700" w:type="dxa"/>
            <w:vAlign w:val="center"/>
          </w:tcPr>
          <w:p w14:paraId="5A7B9715" w14:textId="77777777" w:rsidR="005A73EC" w:rsidRDefault="005A73EC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5A73EC" w14:paraId="2324A446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445B0799" w14:textId="77777777" w:rsidR="005A73EC" w:rsidRPr="00AA61CF" w:rsidRDefault="005A73EC" w:rsidP="00DD65B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120</w:t>
            </w:r>
          </w:p>
        </w:tc>
        <w:tc>
          <w:tcPr>
            <w:tcW w:w="701" w:type="dxa"/>
            <w:vAlign w:val="center"/>
          </w:tcPr>
          <w:p w14:paraId="733F5F15" w14:textId="5B87F61C" w:rsidR="005A73EC" w:rsidRDefault="0045394D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2.19</w:t>
            </w:r>
          </w:p>
        </w:tc>
        <w:tc>
          <w:tcPr>
            <w:tcW w:w="701" w:type="dxa"/>
            <w:vAlign w:val="center"/>
          </w:tcPr>
          <w:p w14:paraId="612F950C" w14:textId="392503E9" w:rsidR="005A73EC" w:rsidRDefault="0045394D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4.52</w:t>
            </w:r>
          </w:p>
        </w:tc>
        <w:tc>
          <w:tcPr>
            <w:tcW w:w="700" w:type="dxa"/>
            <w:vAlign w:val="center"/>
          </w:tcPr>
          <w:p w14:paraId="7975E744" w14:textId="7157127C" w:rsidR="005A73EC" w:rsidRDefault="0045394D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9.04</w:t>
            </w:r>
          </w:p>
        </w:tc>
        <w:tc>
          <w:tcPr>
            <w:tcW w:w="700" w:type="dxa"/>
            <w:vAlign w:val="center"/>
          </w:tcPr>
          <w:p w14:paraId="3B3609D9" w14:textId="48FAD472" w:rsidR="005A73EC" w:rsidRDefault="0045394D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18.08</w:t>
            </w:r>
          </w:p>
        </w:tc>
      </w:tr>
    </w:tbl>
    <w:p w14:paraId="1D5A6844" w14:textId="77777777" w:rsidR="00F052B7" w:rsidRDefault="00F052B7">
      <w:pPr>
        <w:rPr>
          <w:rFonts w:cs="Arial"/>
        </w:rPr>
      </w:pPr>
    </w:p>
    <w:p w14:paraId="11C75571" w14:textId="12586CE8" w:rsidR="007539E0" w:rsidRPr="00A728C5" w:rsidRDefault="007539E0">
      <w:pPr>
        <w:rPr>
          <w:rFonts w:cs="Arial"/>
        </w:rPr>
      </w:pPr>
      <w:r>
        <w:rPr>
          <w:rFonts w:cs="Arial"/>
        </w:rPr>
        <w:lastRenderedPageBreak/>
        <w:t xml:space="preserve">Considering the </w:t>
      </w:r>
      <w:r w:rsidR="009E22EB">
        <w:rPr>
          <w:rFonts w:cs="Arial"/>
        </w:rPr>
        <w:t>possibility of aggregating minimum</w:t>
      </w:r>
      <w:r>
        <w:rPr>
          <w:rFonts w:cs="Arial"/>
        </w:rPr>
        <w:t xml:space="preserve"> </w:t>
      </w:r>
      <w:r w:rsidRPr="00A728C5">
        <w:rPr>
          <w:rFonts w:cs="Arial"/>
        </w:rPr>
        <w:t xml:space="preserve">two </w:t>
      </w:r>
      <w:r w:rsidR="00F052B7">
        <w:rPr>
          <w:rFonts w:cs="Arial"/>
        </w:rPr>
        <w:t xml:space="preserve">FR2 </w:t>
      </w:r>
      <w:r w:rsidRPr="00A728C5">
        <w:rPr>
          <w:rFonts w:cs="Arial"/>
        </w:rPr>
        <w:t xml:space="preserve">carriers </w:t>
      </w:r>
      <w:r w:rsidR="00F052B7">
        <w:rPr>
          <w:rFonts w:cs="Arial"/>
        </w:rPr>
        <w:t xml:space="preserve">with 400 BW </w:t>
      </w:r>
      <w:r w:rsidR="009E22EB">
        <w:rPr>
          <w:rFonts w:cs="Arial"/>
        </w:rPr>
        <w:t>e</w:t>
      </w:r>
      <w:r w:rsidR="00F052B7">
        <w:rPr>
          <w:rFonts w:cs="Arial"/>
        </w:rPr>
        <w:t>ach (800 MHz in total)</w:t>
      </w:r>
      <w:r w:rsidR="009E22EB">
        <w:rPr>
          <w:rFonts w:cs="Arial"/>
        </w:rPr>
        <w:t>,</w:t>
      </w:r>
      <w:r w:rsidR="00F052B7">
        <w:rPr>
          <w:rFonts w:cs="Arial"/>
        </w:rPr>
        <w:t xml:space="preserve"> we can get</w:t>
      </w:r>
      <w:r w:rsidRPr="00A728C5">
        <w:rPr>
          <w:rFonts w:cs="Arial"/>
        </w:rPr>
        <w:t xml:space="preserve"> a peak data</w:t>
      </w:r>
      <w:r w:rsidR="00F052B7">
        <w:rPr>
          <w:rFonts w:cs="Arial"/>
        </w:rPr>
        <w:t xml:space="preserve"> </w:t>
      </w:r>
      <w:r w:rsidRPr="00A728C5">
        <w:rPr>
          <w:rFonts w:cs="Arial"/>
        </w:rPr>
        <w:t>rate</w:t>
      </w:r>
      <w:r>
        <w:rPr>
          <w:rFonts w:cs="Arial"/>
        </w:rPr>
        <w:t xml:space="preserve"> of </w:t>
      </w:r>
      <w:r w:rsidR="00F052B7">
        <w:rPr>
          <w:rFonts w:cs="Arial"/>
        </w:rPr>
        <w:t>almost 36 Gbps. This would fulfil the minimum requirement of 20 Gbps.</w:t>
      </w:r>
    </w:p>
    <w:p w14:paraId="13887981" w14:textId="77777777" w:rsidR="005A73EC" w:rsidRPr="007539E0" w:rsidRDefault="005A73EC" w:rsidP="00DD65B2">
      <w:pPr>
        <w:rPr>
          <w:b/>
          <w:bCs/>
        </w:rPr>
      </w:pPr>
    </w:p>
    <w:p w14:paraId="47CA2436" w14:textId="385740E8" w:rsidR="00107B6E" w:rsidRDefault="005A73EC" w:rsidP="00DD65B2">
      <w:pPr>
        <w:jc w:val="center"/>
        <w:rPr>
          <w:lang w:val="en-US"/>
        </w:rPr>
      </w:pPr>
      <w:r>
        <w:rPr>
          <w:b/>
          <w:bCs/>
          <w:lang w:val="en-US"/>
        </w:rPr>
        <w:t xml:space="preserve">Table </w:t>
      </w:r>
      <w:r w:rsidR="00EB609D">
        <w:rPr>
          <w:b/>
          <w:bCs/>
          <w:lang w:val="en-US"/>
        </w:rPr>
        <w:t>16</w:t>
      </w:r>
      <w:r w:rsidR="00EB609D" w:rsidRPr="00E022E1">
        <w:rPr>
          <w:lang w:val="en-US"/>
        </w:rPr>
        <w:t xml:space="preserve"> </w:t>
      </w:r>
      <w:r w:rsidR="00107B6E">
        <w:rPr>
          <w:lang w:val="en-US"/>
        </w:rPr>
        <w:t>NR TDD frequency range of FR2 (24250 MHz – 52600</w:t>
      </w:r>
      <w:r w:rsidR="00107B6E" w:rsidRPr="00017802">
        <w:rPr>
          <w:lang w:val="en-US"/>
        </w:rPr>
        <w:t xml:space="preserve"> MHz</w:t>
      </w:r>
      <w:r w:rsidR="00107B6E">
        <w:rPr>
          <w:lang w:val="en-US"/>
        </w:rPr>
        <w:t>) UL</w:t>
      </w:r>
      <w:r w:rsidR="00107B6E" w:rsidRPr="00E022E1">
        <w:rPr>
          <w:lang w:val="en-US"/>
        </w:rPr>
        <w:t xml:space="preserve"> peak </w:t>
      </w:r>
      <w:r w:rsidR="00107B6E">
        <w:rPr>
          <w:lang w:val="en-US"/>
        </w:rPr>
        <w:t>data rate</w:t>
      </w:r>
      <w:r w:rsidR="00107B6E" w:rsidRPr="00E022E1">
        <w:rPr>
          <w:lang w:val="en-US"/>
        </w:rPr>
        <w:t xml:space="preserve"> (</w:t>
      </w:r>
      <w:r w:rsidR="00107B6E">
        <w:rPr>
          <w:lang w:val="en-US"/>
        </w:rPr>
        <w:t>Gbps</w:t>
      </w:r>
      <w:r w:rsidR="00107B6E" w:rsidRPr="00E022E1">
        <w:rPr>
          <w:lang w:val="en-US"/>
        </w:rPr>
        <w:t>)</w:t>
      </w:r>
    </w:p>
    <w:p w14:paraId="30DBFBCB" w14:textId="77777777" w:rsidR="00107B6E" w:rsidRDefault="00107B6E" w:rsidP="00DD65B2">
      <w:pPr>
        <w:jc w:val="center"/>
        <w:rPr>
          <w:lang w:eastAsia="zh-CN"/>
        </w:rPr>
      </w:pPr>
      <w:r>
        <w:rPr>
          <w:lang w:eastAsia="zh-CN"/>
        </w:rPr>
        <w:t>4-layer uplink transmission, with 256QAM modulation, and a maximum coding rate of 0.9258, DL/UL 4:1</w:t>
      </w:r>
    </w:p>
    <w:p w14:paraId="19E60944" w14:textId="77777777" w:rsidR="007E72A7" w:rsidRDefault="007E72A7" w:rsidP="00DD65B2">
      <w:pPr>
        <w:jc w:val="center"/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</w:tblGrid>
      <w:tr w:rsidR="00107B6E" w14:paraId="74B48BBD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02575BDD" w14:textId="77777777" w:rsidR="00107B6E" w:rsidRDefault="00107B6E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6C6BDAD7" w14:textId="77777777" w:rsidR="00107B6E" w:rsidRPr="00AA61CF" w:rsidRDefault="00107B6E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00B754BC" w14:textId="77777777" w:rsidR="00107B6E" w:rsidRPr="00AA61CF" w:rsidRDefault="00107B6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143A669F" w14:textId="77777777" w:rsidR="00107B6E" w:rsidRPr="00AA61CF" w:rsidRDefault="00107B6E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1F7FAFB1" w14:textId="77777777" w:rsidR="00107B6E" w:rsidRPr="00AA61CF" w:rsidRDefault="00107B6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083D4B0" w14:textId="77777777" w:rsidR="00107B6E" w:rsidRPr="00AA61CF" w:rsidRDefault="00107B6E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200</w:t>
            </w:r>
          </w:p>
          <w:p w14:paraId="5C830252" w14:textId="77777777" w:rsidR="00107B6E" w:rsidRPr="00AA61CF" w:rsidRDefault="00107B6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28FCE396" w14:textId="77777777" w:rsidR="00107B6E" w:rsidRPr="00AA61CF" w:rsidRDefault="00107B6E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400</w:t>
            </w:r>
          </w:p>
          <w:p w14:paraId="08B3CC62" w14:textId="77777777" w:rsidR="00107B6E" w:rsidRPr="00AA61CF" w:rsidRDefault="00107B6E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107B6E" w14:paraId="756E428A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4D61BE15" w14:textId="77777777" w:rsidR="00107B6E" w:rsidRPr="00AA61CF" w:rsidRDefault="00107B6E" w:rsidP="00DD65B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9C5FF2D" w14:textId="1332FB54" w:rsidR="00107B6E" w:rsidRPr="00E3298A" w:rsidRDefault="00E3298A" w:rsidP="00DD65B2">
            <w:pPr>
              <w:jc w:val="center"/>
              <w:rPr>
                <w:lang w:val="en-US"/>
              </w:rPr>
            </w:pPr>
            <w:r w:rsidRPr="00E3298A">
              <w:rPr>
                <w:lang w:val="en-US"/>
              </w:rPr>
              <w:t>0.236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BDB2920" w14:textId="5A3D8C37" w:rsidR="00107B6E" w:rsidRPr="00E3298A" w:rsidRDefault="00E3298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0.473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1C5B147" w14:textId="71E91943" w:rsidR="00107B6E" w:rsidRPr="00E3298A" w:rsidRDefault="00E3298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0.946</w:t>
            </w:r>
          </w:p>
        </w:tc>
        <w:tc>
          <w:tcPr>
            <w:tcW w:w="700" w:type="dxa"/>
            <w:vAlign w:val="center"/>
          </w:tcPr>
          <w:p w14:paraId="382EC5FD" w14:textId="77777777" w:rsidR="00107B6E" w:rsidRDefault="00107B6E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107B6E" w14:paraId="0223C0D6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21FB9ADA" w14:textId="77777777" w:rsidR="00107B6E" w:rsidRPr="00AA61CF" w:rsidRDefault="00107B6E" w:rsidP="00DD65B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120</w:t>
            </w:r>
          </w:p>
        </w:tc>
        <w:tc>
          <w:tcPr>
            <w:tcW w:w="701" w:type="dxa"/>
            <w:vAlign w:val="center"/>
          </w:tcPr>
          <w:p w14:paraId="4C705444" w14:textId="4FAB5806" w:rsidR="00107B6E" w:rsidRDefault="003A733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0.229</w:t>
            </w:r>
          </w:p>
        </w:tc>
        <w:tc>
          <w:tcPr>
            <w:tcW w:w="701" w:type="dxa"/>
            <w:vAlign w:val="center"/>
          </w:tcPr>
          <w:p w14:paraId="0C5DA1F4" w14:textId="7FCBBF61" w:rsidR="00107B6E" w:rsidRDefault="003A733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0.473</w:t>
            </w:r>
          </w:p>
        </w:tc>
        <w:tc>
          <w:tcPr>
            <w:tcW w:w="700" w:type="dxa"/>
            <w:vAlign w:val="center"/>
          </w:tcPr>
          <w:p w14:paraId="7F1ABAAB" w14:textId="4F147F87" w:rsidR="00107B6E" w:rsidRDefault="003A733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0.946</w:t>
            </w:r>
          </w:p>
        </w:tc>
        <w:tc>
          <w:tcPr>
            <w:tcW w:w="700" w:type="dxa"/>
            <w:vAlign w:val="center"/>
          </w:tcPr>
          <w:p w14:paraId="3F7838B1" w14:textId="352FF193" w:rsidR="00107B6E" w:rsidRDefault="003A7336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1.89</w:t>
            </w:r>
          </w:p>
        </w:tc>
      </w:tr>
    </w:tbl>
    <w:p w14:paraId="45B665CC" w14:textId="77777777" w:rsidR="00B73D3E" w:rsidRDefault="00B73D3E" w:rsidP="00DD65B2">
      <w:pPr>
        <w:rPr>
          <w:lang w:val="en-US"/>
        </w:rPr>
      </w:pPr>
    </w:p>
    <w:p w14:paraId="50C44360" w14:textId="343A9016" w:rsidR="00107B6E" w:rsidRDefault="00F05DA0" w:rsidP="00DD65B2">
      <w:pPr>
        <w:rPr>
          <w:lang w:val="en-US"/>
        </w:rPr>
      </w:pPr>
      <w:r>
        <w:rPr>
          <w:lang w:val="en-US"/>
        </w:rPr>
        <w:t xml:space="preserve">If we assume %100 transmission </w:t>
      </w:r>
      <w:r w:rsidR="005A73EC">
        <w:rPr>
          <w:lang w:val="en-US"/>
        </w:rPr>
        <w:t>in</w:t>
      </w:r>
      <w:r>
        <w:rPr>
          <w:lang w:val="en-US"/>
        </w:rPr>
        <w:t xml:space="preserve"> the uplink instead of %20 </w:t>
      </w:r>
      <w:r w:rsidR="005A73EC">
        <w:rPr>
          <w:lang w:val="en-US"/>
        </w:rPr>
        <w:t xml:space="preserve">evaluation shown </w:t>
      </w:r>
      <w:r>
        <w:rPr>
          <w:lang w:val="en-US"/>
        </w:rPr>
        <w:t xml:space="preserve">in </w:t>
      </w:r>
      <w:r w:rsidR="005A73EC">
        <w:rPr>
          <w:lang w:val="en-US"/>
        </w:rPr>
        <w:t>T</w:t>
      </w:r>
      <w:r>
        <w:rPr>
          <w:lang w:val="en-US"/>
        </w:rPr>
        <w:t>able</w:t>
      </w:r>
      <w:r w:rsidR="005A73EC">
        <w:rPr>
          <w:lang w:val="en-US"/>
        </w:rPr>
        <w:t xml:space="preserve"> 8</w:t>
      </w:r>
      <w:r>
        <w:rPr>
          <w:lang w:val="en-US"/>
        </w:rPr>
        <w:t>, we get:</w:t>
      </w:r>
    </w:p>
    <w:p w14:paraId="2B23CD83" w14:textId="77777777" w:rsidR="00B73D3E" w:rsidRDefault="00B73D3E" w:rsidP="00DD65B2">
      <w:pPr>
        <w:rPr>
          <w:b/>
          <w:bCs/>
          <w:lang w:val="en-US"/>
        </w:rPr>
      </w:pPr>
    </w:p>
    <w:p w14:paraId="7F0615B1" w14:textId="739BBC8B" w:rsidR="0045394D" w:rsidRDefault="0045394D" w:rsidP="00DD65B2">
      <w:pPr>
        <w:jc w:val="center"/>
        <w:rPr>
          <w:lang w:val="en-US"/>
        </w:rPr>
      </w:pPr>
      <w:r>
        <w:rPr>
          <w:b/>
          <w:bCs/>
          <w:lang w:val="en-US"/>
        </w:rPr>
        <w:t xml:space="preserve">Table </w:t>
      </w:r>
      <w:r w:rsidR="00EB609D">
        <w:rPr>
          <w:b/>
          <w:bCs/>
          <w:lang w:val="en-US"/>
        </w:rPr>
        <w:t>17</w:t>
      </w:r>
      <w:r w:rsidR="00EB609D" w:rsidRPr="00E022E1">
        <w:rPr>
          <w:lang w:val="en-US"/>
        </w:rPr>
        <w:t xml:space="preserve"> </w:t>
      </w:r>
      <w:r>
        <w:rPr>
          <w:lang w:val="en-US"/>
        </w:rPr>
        <w:t>NR TDD frequency range of FR2 (24250 MHz – 52600</w:t>
      </w:r>
      <w:r w:rsidRPr="00017802">
        <w:rPr>
          <w:lang w:val="en-US"/>
        </w:rPr>
        <w:t xml:space="preserve"> MHz</w:t>
      </w:r>
      <w:r>
        <w:rPr>
          <w:lang w:val="en-US"/>
        </w:rPr>
        <w:t>) UL</w:t>
      </w:r>
      <w:r w:rsidRPr="00E022E1">
        <w:rPr>
          <w:lang w:val="en-US"/>
        </w:rPr>
        <w:t xml:space="preserve"> peak </w:t>
      </w:r>
      <w:r>
        <w:rPr>
          <w:lang w:val="en-US"/>
        </w:rPr>
        <w:t>data rate</w:t>
      </w:r>
      <w:r w:rsidRPr="00E022E1">
        <w:rPr>
          <w:lang w:val="en-US"/>
        </w:rPr>
        <w:t xml:space="preserve"> (</w:t>
      </w:r>
      <w:r>
        <w:rPr>
          <w:lang w:val="en-US"/>
        </w:rPr>
        <w:t>Gbps</w:t>
      </w:r>
      <w:r w:rsidRPr="00E022E1">
        <w:rPr>
          <w:lang w:val="en-US"/>
        </w:rPr>
        <w:t>)</w:t>
      </w:r>
    </w:p>
    <w:p w14:paraId="277B1A3E" w14:textId="406656AE" w:rsidR="0045394D" w:rsidRDefault="0045394D" w:rsidP="00DD65B2">
      <w:pPr>
        <w:jc w:val="center"/>
        <w:rPr>
          <w:lang w:eastAsia="zh-CN"/>
        </w:rPr>
      </w:pPr>
      <w:r>
        <w:rPr>
          <w:lang w:eastAsia="zh-CN"/>
        </w:rPr>
        <w:t>4-layer uplink transmission, with 256QAM modulation, and a maximum coding rate of 0.9258, UL only</w:t>
      </w:r>
    </w:p>
    <w:p w14:paraId="28FE47E7" w14:textId="77777777" w:rsidR="007E72A7" w:rsidRDefault="007E72A7" w:rsidP="00DD65B2">
      <w:pPr>
        <w:jc w:val="center"/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</w:tblGrid>
      <w:tr w:rsidR="00F05DA0" w14:paraId="4DD1B76B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008A191E" w14:textId="77777777" w:rsidR="00F05DA0" w:rsidRDefault="00F05DA0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4CF23A09" w14:textId="77777777" w:rsidR="00F05DA0" w:rsidRPr="00AA61CF" w:rsidRDefault="00F05DA0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03A95692" w14:textId="77777777" w:rsidR="00F05DA0" w:rsidRPr="00AA61CF" w:rsidRDefault="00F05DA0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126AE22E" w14:textId="77777777" w:rsidR="00F05DA0" w:rsidRPr="00AA61CF" w:rsidRDefault="00F05DA0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2973A899" w14:textId="77777777" w:rsidR="00F05DA0" w:rsidRPr="00AA61CF" w:rsidRDefault="00F05DA0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5517BDA9" w14:textId="77777777" w:rsidR="00F05DA0" w:rsidRPr="00AA61CF" w:rsidRDefault="00F05DA0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200</w:t>
            </w:r>
          </w:p>
          <w:p w14:paraId="0AD3F28F" w14:textId="77777777" w:rsidR="00F05DA0" w:rsidRPr="00AA61CF" w:rsidRDefault="00F05DA0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00D1C96" w14:textId="77777777" w:rsidR="00F05DA0" w:rsidRPr="00AA61CF" w:rsidRDefault="00F05DA0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400</w:t>
            </w:r>
          </w:p>
          <w:p w14:paraId="120E68A8" w14:textId="77777777" w:rsidR="00F05DA0" w:rsidRPr="00AA61CF" w:rsidRDefault="00F05DA0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F05DA0" w14:paraId="601BB0CE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017668D3" w14:textId="77777777" w:rsidR="00F05DA0" w:rsidRPr="00AA61CF" w:rsidRDefault="00F05DA0" w:rsidP="00DD65B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6A00599" w14:textId="2BFE86AF" w:rsidR="00F05DA0" w:rsidRPr="00E3298A" w:rsidRDefault="00E3298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1.18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4039919" w14:textId="4991B979" w:rsidR="00F05DA0" w:rsidRPr="00E3298A" w:rsidRDefault="00E3298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2.36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9152336" w14:textId="7B2CC7CE" w:rsidR="00F05DA0" w:rsidRPr="00E3298A" w:rsidRDefault="00E3298A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4.73</w:t>
            </w:r>
          </w:p>
        </w:tc>
        <w:tc>
          <w:tcPr>
            <w:tcW w:w="700" w:type="dxa"/>
            <w:vAlign w:val="center"/>
          </w:tcPr>
          <w:p w14:paraId="0AF47AE7" w14:textId="77777777" w:rsidR="00F05DA0" w:rsidRDefault="00F05DA0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F05DA0" w14:paraId="724368D4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215AB437" w14:textId="77777777" w:rsidR="00F05DA0" w:rsidRPr="00AA61CF" w:rsidRDefault="00F05DA0" w:rsidP="00DD65B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120</w:t>
            </w:r>
          </w:p>
        </w:tc>
        <w:tc>
          <w:tcPr>
            <w:tcW w:w="701" w:type="dxa"/>
            <w:vAlign w:val="center"/>
          </w:tcPr>
          <w:p w14:paraId="2FC0729B" w14:textId="0D2613D1" w:rsidR="00F05DA0" w:rsidRDefault="00F05DA0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1.15</w:t>
            </w:r>
          </w:p>
        </w:tc>
        <w:tc>
          <w:tcPr>
            <w:tcW w:w="701" w:type="dxa"/>
            <w:vAlign w:val="center"/>
          </w:tcPr>
          <w:p w14:paraId="04F968DF" w14:textId="71C06939" w:rsidR="00F05DA0" w:rsidRDefault="00F05DA0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2.36</w:t>
            </w:r>
          </w:p>
        </w:tc>
        <w:tc>
          <w:tcPr>
            <w:tcW w:w="700" w:type="dxa"/>
            <w:vAlign w:val="center"/>
          </w:tcPr>
          <w:p w14:paraId="6F38EE34" w14:textId="41F46066" w:rsidR="00F05DA0" w:rsidRDefault="00F05DA0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4.73</w:t>
            </w:r>
          </w:p>
        </w:tc>
        <w:tc>
          <w:tcPr>
            <w:tcW w:w="700" w:type="dxa"/>
            <w:vAlign w:val="center"/>
          </w:tcPr>
          <w:p w14:paraId="76172DC2" w14:textId="401D701F" w:rsidR="00F05DA0" w:rsidRDefault="00F05DA0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9.46</w:t>
            </w:r>
          </w:p>
        </w:tc>
      </w:tr>
    </w:tbl>
    <w:p w14:paraId="3E19265C" w14:textId="77777777" w:rsidR="007E72A7" w:rsidRDefault="007E72A7" w:rsidP="00DD65B2">
      <w:pPr>
        <w:rPr>
          <w:lang w:val="en-US"/>
        </w:rPr>
      </w:pPr>
    </w:p>
    <w:p w14:paraId="50BC6306" w14:textId="14726CA3" w:rsidR="00D832EB" w:rsidRDefault="007E72A7" w:rsidP="00DD65B2">
      <w:pPr>
        <w:rPr>
          <w:lang w:val="en-US"/>
        </w:rPr>
      </w:pPr>
      <w:r>
        <w:rPr>
          <w:lang w:val="en-US"/>
        </w:rPr>
        <w:t>Following</w:t>
      </w:r>
      <w:r w:rsidR="00EB609D" w:rsidRPr="00DD65B2">
        <w:rPr>
          <w:lang w:val="en-US"/>
        </w:rPr>
        <w:t xml:space="preserve"> the same methodology, but assuming </w:t>
      </w:r>
      <w:r w:rsidR="007C303B">
        <w:rPr>
          <w:lang w:val="en-US"/>
        </w:rPr>
        <w:t xml:space="preserve">64QAM modulation order, the peak speeds in FR2 frequency range are calculated and the values are shown below. </w:t>
      </w:r>
    </w:p>
    <w:p w14:paraId="04BE5C8B" w14:textId="77777777" w:rsidR="007E72A7" w:rsidRPr="00DD65B2" w:rsidRDefault="007E72A7" w:rsidP="00DD65B2">
      <w:pPr>
        <w:rPr>
          <w:lang w:val="en-US"/>
        </w:rPr>
      </w:pPr>
    </w:p>
    <w:p w14:paraId="4F5A9E5C" w14:textId="53AF823C" w:rsidR="00EB609D" w:rsidRDefault="00EB609D" w:rsidP="00DD65B2">
      <w:pPr>
        <w:jc w:val="center"/>
        <w:rPr>
          <w:lang w:val="en-US"/>
        </w:rPr>
      </w:pPr>
      <w:r>
        <w:rPr>
          <w:b/>
          <w:bCs/>
          <w:lang w:val="en-US"/>
        </w:rPr>
        <w:t xml:space="preserve">Table </w:t>
      </w:r>
      <w:r w:rsidR="007C303B">
        <w:rPr>
          <w:b/>
          <w:bCs/>
          <w:lang w:val="en-US"/>
        </w:rPr>
        <w:t>18</w:t>
      </w:r>
      <w:r w:rsidRPr="00E022E1">
        <w:rPr>
          <w:lang w:val="en-US"/>
        </w:rPr>
        <w:t xml:space="preserve"> </w:t>
      </w:r>
      <w:r>
        <w:rPr>
          <w:lang w:val="en-US"/>
        </w:rPr>
        <w:t>NR TDD frequency range of FR2 (24250 MHz – 52600</w:t>
      </w:r>
      <w:r w:rsidRPr="00017802">
        <w:rPr>
          <w:lang w:val="en-US"/>
        </w:rPr>
        <w:t xml:space="preserve"> MHz</w:t>
      </w:r>
      <w:r w:rsidRPr="00E022E1">
        <w:rPr>
          <w:lang w:val="en-US"/>
        </w:rPr>
        <w:t xml:space="preserve">) DL peak </w:t>
      </w:r>
      <w:r>
        <w:rPr>
          <w:lang w:val="en-US"/>
        </w:rPr>
        <w:t>data rate</w:t>
      </w:r>
      <w:r w:rsidRPr="00E022E1">
        <w:rPr>
          <w:lang w:val="en-US"/>
        </w:rPr>
        <w:t xml:space="preserve"> (</w:t>
      </w:r>
      <w:r>
        <w:rPr>
          <w:lang w:val="en-US"/>
        </w:rPr>
        <w:t>Gbps</w:t>
      </w:r>
      <w:r w:rsidRPr="00E022E1">
        <w:rPr>
          <w:lang w:val="en-US"/>
        </w:rPr>
        <w:t>)</w:t>
      </w:r>
    </w:p>
    <w:p w14:paraId="627A10C0" w14:textId="77AB3607" w:rsidR="00EB609D" w:rsidRDefault="00EB609D" w:rsidP="00DD65B2">
      <w:pPr>
        <w:jc w:val="center"/>
        <w:rPr>
          <w:lang w:eastAsia="zh-CN"/>
        </w:rPr>
      </w:pPr>
      <w:r>
        <w:rPr>
          <w:lang w:eastAsia="zh-CN"/>
        </w:rPr>
        <w:t>8-layer</w:t>
      </w:r>
      <w:r w:rsidR="007C303B">
        <w:rPr>
          <w:lang w:eastAsia="zh-CN"/>
        </w:rPr>
        <w:t xml:space="preserve"> downlink transmission, with 6</w:t>
      </w:r>
      <w:r>
        <w:rPr>
          <w:lang w:eastAsia="zh-CN"/>
        </w:rPr>
        <w:t>QAM modulation, and a maximum coding rate of 0.9258, DL/UL 4:1</w:t>
      </w:r>
    </w:p>
    <w:p w14:paraId="15F1043C" w14:textId="77777777" w:rsidR="007E72A7" w:rsidRDefault="007E72A7" w:rsidP="00DD65B2">
      <w:pPr>
        <w:jc w:val="center"/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</w:tblGrid>
      <w:tr w:rsidR="00EB609D" w14:paraId="176221EF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7FE19413" w14:textId="77777777" w:rsidR="00EB609D" w:rsidRDefault="00EB609D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0BFAA68D" w14:textId="77777777" w:rsidR="00EB609D" w:rsidRPr="00AA61CF" w:rsidRDefault="00EB609D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29D41643" w14:textId="77777777" w:rsidR="00EB609D" w:rsidRPr="00AA61CF" w:rsidRDefault="00EB609D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4866D42B" w14:textId="77777777" w:rsidR="00EB609D" w:rsidRPr="00AA61CF" w:rsidRDefault="00EB609D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2BE64891" w14:textId="77777777" w:rsidR="00EB609D" w:rsidRPr="00AA61CF" w:rsidRDefault="00EB609D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3C7ABF70" w14:textId="77777777" w:rsidR="00EB609D" w:rsidRPr="00AA61CF" w:rsidRDefault="00EB609D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200</w:t>
            </w:r>
          </w:p>
          <w:p w14:paraId="4C0F0095" w14:textId="77777777" w:rsidR="00EB609D" w:rsidRPr="00AA61CF" w:rsidRDefault="00EB609D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7696263F" w14:textId="77777777" w:rsidR="00EB609D" w:rsidRPr="00AA61CF" w:rsidRDefault="00EB609D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400</w:t>
            </w:r>
          </w:p>
          <w:p w14:paraId="79464215" w14:textId="77777777" w:rsidR="00EB609D" w:rsidRPr="00AA61CF" w:rsidRDefault="00EB609D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7C303B" w14:paraId="32997B47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2ABC7C82" w14:textId="77777777" w:rsidR="007C303B" w:rsidRPr="00AA61CF" w:rsidRDefault="007C303B" w:rsidP="00DD65B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C0140ED" w14:textId="0D530EE7" w:rsidR="007C303B" w:rsidRPr="00FD704E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1.36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7247253" w14:textId="3E061B06" w:rsidR="007C303B" w:rsidRPr="00FD704E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2.71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C42DD20" w14:textId="5224318D" w:rsidR="007C303B" w:rsidRPr="00FD704E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5.42</w:t>
            </w:r>
          </w:p>
        </w:tc>
        <w:tc>
          <w:tcPr>
            <w:tcW w:w="700" w:type="dxa"/>
            <w:vAlign w:val="center"/>
          </w:tcPr>
          <w:p w14:paraId="3C2A01F2" w14:textId="46524A38" w:rsidR="007C303B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n/a</w:t>
            </w:r>
          </w:p>
        </w:tc>
      </w:tr>
      <w:tr w:rsidR="007C303B" w14:paraId="4063162D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451B2EE1" w14:textId="77777777" w:rsidR="007C303B" w:rsidRPr="00AA61CF" w:rsidRDefault="007C303B" w:rsidP="00DD65B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120</w:t>
            </w:r>
          </w:p>
        </w:tc>
        <w:tc>
          <w:tcPr>
            <w:tcW w:w="701" w:type="dxa"/>
            <w:vAlign w:val="center"/>
          </w:tcPr>
          <w:p w14:paraId="3EE250A5" w14:textId="45B0A315" w:rsidR="007C303B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1.31</w:t>
            </w:r>
          </w:p>
        </w:tc>
        <w:tc>
          <w:tcPr>
            <w:tcW w:w="701" w:type="dxa"/>
            <w:vAlign w:val="center"/>
          </w:tcPr>
          <w:p w14:paraId="0B3C9ACB" w14:textId="0E423A96" w:rsidR="007C303B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2.71</w:t>
            </w:r>
          </w:p>
        </w:tc>
        <w:tc>
          <w:tcPr>
            <w:tcW w:w="700" w:type="dxa"/>
            <w:vAlign w:val="center"/>
          </w:tcPr>
          <w:p w14:paraId="2F0B10D9" w14:textId="0D39761B" w:rsidR="007C303B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5.42</w:t>
            </w:r>
          </w:p>
        </w:tc>
        <w:tc>
          <w:tcPr>
            <w:tcW w:w="700" w:type="dxa"/>
            <w:vAlign w:val="center"/>
          </w:tcPr>
          <w:p w14:paraId="56922A06" w14:textId="438F3908" w:rsidR="007C303B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10.85</w:t>
            </w:r>
          </w:p>
        </w:tc>
      </w:tr>
    </w:tbl>
    <w:p w14:paraId="345688B3" w14:textId="77777777" w:rsidR="00EB609D" w:rsidRDefault="00EB609D" w:rsidP="00DD65B2">
      <w:pPr>
        <w:rPr>
          <w:lang w:val="en-US"/>
        </w:rPr>
      </w:pPr>
    </w:p>
    <w:p w14:paraId="76C71863" w14:textId="77777777" w:rsidR="00EB609D" w:rsidRDefault="00EB609D" w:rsidP="00DD65B2">
      <w:pPr>
        <w:rPr>
          <w:lang w:val="en-US"/>
        </w:rPr>
      </w:pPr>
      <w:r>
        <w:rPr>
          <w:lang w:val="en-US"/>
        </w:rPr>
        <w:t>If we assume %100 transmission in the downlink instead of %80 evaluation shown in Table 6, we get:</w:t>
      </w:r>
    </w:p>
    <w:p w14:paraId="4EFF743E" w14:textId="77777777" w:rsidR="00EB609D" w:rsidRDefault="00EB609D" w:rsidP="00DD65B2">
      <w:pPr>
        <w:rPr>
          <w:b/>
          <w:bCs/>
          <w:lang w:val="en-US"/>
        </w:rPr>
      </w:pPr>
    </w:p>
    <w:p w14:paraId="391B461E" w14:textId="2D0E3CFB" w:rsidR="00EB609D" w:rsidRDefault="00EB609D" w:rsidP="00DD65B2">
      <w:pPr>
        <w:jc w:val="center"/>
        <w:rPr>
          <w:lang w:val="en-US"/>
        </w:rPr>
      </w:pPr>
      <w:r>
        <w:rPr>
          <w:b/>
          <w:bCs/>
          <w:lang w:val="en-US"/>
        </w:rPr>
        <w:t xml:space="preserve">Table </w:t>
      </w:r>
      <w:r w:rsidR="007C303B">
        <w:rPr>
          <w:b/>
          <w:bCs/>
          <w:lang w:val="en-US"/>
        </w:rPr>
        <w:t>19</w:t>
      </w:r>
      <w:r w:rsidRPr="00E022E1">
        <w:rPr>
          <w:lang w:val="en-US"/>
        </w:rPr>
        <w:t xml:space="preserve"> </w:t>
      </w:r>
      <w:r>
        <w:rPr>
          <w:lang w:val="en-US"/>
        </w:rPr>
        <w:t>NR TDD frequency range of FR2 (24250 MHz – 52600</w:t>
      </w:r>
      <w:r w:rsidRPr="00017802">
        <w:rPr>
          <w:lang w:val="en-US"/>
        </w:rPr>
        <w:t xml:space="preserve"> MHz</w:t>
      </w:r>
      <w:r w:rsidRPr="00E022E1">
        <w:rPr>
          <w:lang w:val="en-US"/>
        </w:rPr>
        <w:t xml:space="preserve">) DL peak </w:t>
      </w:r>
      <w:r>
        <w:rPr>
          <w:lang w:val="en-US"/>
        </w:rPr>
        <w:t>data rate</w:t>
      </w:r>
      <w:r w:rsidRPr="00E022E1">
        <w:rPr>
          <w:lang w:val="en-US"/>
        </w:rPr>
        <w:t xml:space="preserve"> (</w:t>
      </w:r>
      <w:r>
        <w:rPr>
          <w:lang w:val="en-US"/>
        </w:rPr>
        <w:t>Gbps</w:t>
      </w:r>
      <w:r w:rsidRPr="00E022E1">
        <w:rPr>
          <w:lang w:val="en-US"/>
        </w:rPr>
        <w:t>)</w:t>
      </w:r>
    </w:p>
    <w:p w14:paraId="665DAD56" w14:textId="65D84527" w:rsidR="00EB609D" w:rsidRDefault="00EB609D" w:rsidP="00DD65B2">
      <w:pPr>
        <w:jc w:val="center"/>
        <w:rPr>
          <w:lang w:eastAsia="zh-CN"/>
        </w:rPr>
      </w:pPr>
      <w:r>
        <w:rPr>
          <w:lang w:eastAsia="zh-CN"/>
        </w:rPr>
        <w:t>8-layer</w:t>
      </w:r>
      <w:r w:rsidR="00811CEE">
        <w:rPr>
          <w:lang w:eastAsia="zh-CN"/>
        </w:rPr>
        <w:t xml:space="preserve"> downlink transmission, with 64</w:t>
      </w:r>
      <w:r>
        <w:rPr>
          <w:lang w:eastAsia="zh-CN"/>
        </w:rPr>
        <w:t>QAM modulation, and a maximum coding rate of 0.9258, DL only</w:t>
      </w:r>
    </w:p>
    <w:p w14:paraId="5A3C2D10" w14:textId="77777777" w:rsidR="007E72A7" w:rsidRDefault="007E72A7" w:rsidP="00DD65B2">
      <w:pPr>
        <w:jc w:val="center"/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</w:tblGrid>
      <w:tr w:rsidR="00EB609D" w14:paraId="0EF85847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32CF9E2D" w14:textId="77777777" w:rsidR="00EB609D" w:rsidRDefault="00EB609D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61F3E755" w14:textId="77777777" w:rsidR="00EB609D" w:rsidRPr="00AA61CF" w:rsidRDefault="00EB609D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64FE908D" w14:textId="77777777" w:rsidR="00EB609D" w:rsidRPr="00AA61CF" w:rsidRDefault="00EB609D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14FC67E9" w14:textId="77777777" w:rsidR="00EB609D" w:rsidRPr="00AA61CF" w:rsidRDefault="00EB609D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322B24B2" w14:textId="77777777" w:rsidR="00EB609D" w:rsidRPr="00AA61CF" w:rsidRDefault="00EB609D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3C2B8C58" w14:textId="77777777" w:rsidR="00EB609D" w:rsidRPr="00AA61CF" w:rsidRDefault="00EB609D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200</w:t>
            </w:r>
          </w:p>
          <w:p w14:paraId="6DB3D0FA" w14:textId="77777777" w:rsidR="00EB609D" w:rsidRPr="00AA61CF" w:rsidRDefault="00EB609D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2664EBD3" w14:textId="77777777" w:rsidR="00EB609D" w:rsidRPr="00AA61CF" w:rsidRDefault="00EB609D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400</w:t>
            </w:r>
          </w:p>
          <w:p w14:paraId="08B7D1CD" w14:textId="77777777" w:rsidR="00EB609D" w:rsidRPr="00AA61CF" w:rsidRDefault="00EB609D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7C303B" w14:paraId="70DD6695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685F551C" w14:textId="77777777" w:rsidR="007C303B" w:rsidRPr="00AA61CF" w:rsidRDefault="007C303B" w:rsidP="00DD65B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C5111A7" w14:textId="445BD7E8" w:rsidR="007C303B" w:rsidRPr="00E3298A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1.70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D1EFE86" w14:textId="70F8FCCD" w:rsidR="007C303B" w:rsidRPr="00E3298A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3.39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9171FC3" w14:textId="7D8CB913" w:rsidR="007C303B" w:rsidRPr="00E3298A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6.78</w:t>
            </w:r>
          </w:p>
        </w:tc>
        <w:tc>
          <w:tcPr>
            <w:tcW w:w="700" w:type="dxa"/>
            <w:vAlign w:val="center"/>
          </w:tcPr>
          <w:p w14:paraId="372A67D0" w14:textId="4A9382B0" w:rsidR="007C303B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n/a</w:t>
            </w:r>
          </w:p>
        </w:tc>
      </w:tr>
      <w:tr w:rsidR="007C303B" w14:paraId="249885A5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78B56207" w14:textId="77777777" w:rsidR="007C303B" w:rsidRPr="00AA61CF" w:rsidRDefault="007C303B" w:rsidP="00DD65B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120</w:t>
            </w:r>
          </w:p>
        </w:tc>
        <w:tc>
          <w:tcPr>
            <w:tcW w:w="701" w:type="dxa"/>
            <w:vAlign w:val="center"/>
          </w:tcPr>
          <w:p w14:paraId="617EA924" w14:textId="3F467879" w:rsidR="007C303B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1.64</w:t>
            </w:r>
          </w:p>
        </w:tc>
        <w:tc>
          <w:tcPr>
            <w:tcW w:w="701" w:type="dxa"/>
            <w:vAlign w:val="center"/>
          </w:tcPr>
          <w:p w14:paraId="532BBAFF" w14:textId="4975C37B" w:rsidR="007C303B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3.39</w:t>
            </w:r>
          </w:p>
        </w:tc>
        <w:tc>
          <w:tcPr>
            <w:tcW w:w="700" w:type="dxa"/>
            <w:vAlign w:val="center"/>
          </w:tcPr>
          <w:p w14:paraId="4FB19836" w14:textId="3883A7DB" w:rsidR="007C303B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6.78</w:t>
            </w:r>
          </w:p>
        </w:tc>
        <w:tc>
          <w:tcPr>
            <w:tcW w:w="700" w:type="dxa"/>
            <w:vAlign w:val="center"/>
          </w:tcPr>
          <w:p w14:paraId="6B2925B5" w14:textId="6DB2ADBB" w:rsidR="007C303B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13.56</w:t>
            </w:r>
          </w:p>
        </w:tc>
      </w:tr>
    </w:tbl>
    <w:p w14:paraId="0A4BCC35" w14:textId="77777777" w:rsidR="00EB609D" w:rsidRDefault="00EB609D">
      <w:pPr>
        <w:rPr>
          <w:rFonts w:cs="Arial"/>
        </w:rPr>
      </w:pPr>
    </w:p>
    <w:p w14:paraId="18E5C8C0" w14:textId="2520BC1C" w:rsidR="00EB609D" w:rsidRPr="00A728C5" w:rsidRDefault="00EB609D">
      <w:pPr>
        <w:rPr>
          <w:rFonts w:cs="Arial"/>
        </w:rPr>
      </w:pPr>
      <w:r>
        <w:rPr>
          <w:rFonts w:cs="Arial"/>
        </w:rPr>
        <w:t xml:space="preserve">Considering the possibility of aggregating </w:t>
      </w:r>
      <w:r w:rsidR="007C303B">
        <w:rPr>
          <w:rFonts w:cs="Arial"/>
        </w:rPr>
        <w:t>at least</w:t>
      </w:r>
      <w:r>
        <w:rPr>
          <w:rFonts w:cs="Arial"/>
        </w:rPr>
        <w:t xml:space="preserve"> </w:t>
      </w:r>
      <w:r w:rsidRPr="00A728C5">
        <w:rPr>
          <w:rFonts w:cs="Arial"/>
        </w:rPr>
        <w:t xml:space="preserve">two </w:t>
      </w:r>
      <w:r>
        <w:rPr>
          <w:rFonts w:cs="Arial"/>
        </w:rPr>
        <w:t xml:space="preserve">FR2 </w:t>
      </w:r>
      <w:r w:rsidRPr="00A728C5">
        <w:rPr>
          <w:rFonts w:cs="Arial"/>
        </w:rPr>
        <w:t xml:space="preserve">carriers </w:t>
      </w:r>
      <w:r>
        <w:rPr>
          <w:rFonts w:cs="Arial"/>
        </w:rPr>
        <w:t>with 400 BW each (800 MHz in total), we can get</w:t>
      </w:r>
      <w:r w:rsidRPr="00A728C5">
        <w:rPr>
          <w:rFonts w:cs="Arial"/>
        </w:rPr>
        <w:t xml:space="preserve"> a peak data</w:t>
      </w:r>
      <w:r>
        <w:rPr>
          <w:rFonts w:cs="Arial"/>
        </w:rPr>
        <w:t xml:space="preserve"> </w:t>
      </w:r>
      <w:r w:rsidRPr="00A728C5">
        <w:rPr>
          <w:rFonts w:cs="Arial"/>
        </w:rPr>
        <w:t>rate</w:t>
      </w:r>
      <w:r>
        <w:rPr>
          <w:rFonts w:cs="Arial"/>
        </w:rPr>
        <w:t xml:space="preserve"> of almost </w:t>
      </w:r>
      <w:r w:rsidR="007C303B">
        <w:rPr>
          <w:rFonts w:cs="Arial"/>
        </w:rPr>
        <w:t>27</w:t>
      </w:r>
      <w:r>
        <w:rPr>
          <w:rFonts w:cs="Arial"/>
        </w:rPr>
        <w:t xml:space="preserve"> Gbps. This would fulfil the</w:t>
      </w:r>
      <w:r w:rsidR="007C303B">
        <w:rPr>
          <w:rFonts w:cs="Arial"/>
        </w:rPr>
        <w:t xml:space="preserve"> minimum requirement of 20 Gbps even if 64QAM is used. </w:t>
      </w:r>
    </w:p>
    <w:p w14:paraId="425329C5" w14:textId="77777777" w:rsidR="00EB609D" w:rsidRPr="007539E0" w:rsidRDefault="00EB609D" w:rsidP="00DD65B2">
      <w:pPr>
        <w:rPr>
          <w:b/>
          <w:bCs/>
        </w:rPr>
      </w:pPr>
    </w:p>
    <w:p w14:paraId="0B763101" w14:textId="08283A95" w:rsidR="00EB609D" w:rsidRDefault="00EB609D" w:rsidP="00DD65B2">
      <w:pPr>
        <w:jc w:val="center"/>
        <w:rPr>
          <w:lang w:val="en-US"/>
        </w:rPr>
      </w:pPr>
      <w:r>
        <w:rPr>
          <w:b/>
          <w:bCs/>
          <w:lang w:val="en-US"/>
        </w:rPr>
        <w:t xml:space="preserve">Table </w:t>
      </w:r>
      <w:r w:rsidR="007C303B">
        <w:rPr>
          <w:b/>
          <w:bCs/>
          <w:lang w:val="en-US"/>
        </w:rPr>
        <w:t>20</w:t>
      </w:r>
      <w:r w:rsidRPr="00E022E1">
        <w:rPr>
          <w:lang w:val="en-US"/>
        </w:rPr>
        <w:t xml:space="preserve"> </w:t>
      </w:r>
      <w:r>
        <w:rPr>
          <w:lang w:val="en-US"/>
        </w:rPr>
        <w:t>NR TDD frequency range of FR2 (24250 MHz – 52600</w:t>
      </w:r>
      <w:r w:rsidRPr="00017802">
        <w:rPr>
          <w:lang w:val="en-US"/>
        </w:rPr>
        <w:t xml:space="preserve"> MHz</w:t>
      </w:r>
      <w:r>
        <w:rPr>
          <w:lang w:val="en-US"/>
        </w:rPr>
        <w:t>) UL</w:t>
      </w:r>
      <w:r w:rsidRPr="00E022E1">
        <w:rPr>
          <w:lang w:val="en-US"/>
        </w:rPr>
        <w:t xml:space="preserve"> peak </w:t>
      </w:r>
      <w:r>
        <w:rPr>
          <w:lang w:val="en-US"/>
        </w:rPr>
        <w:t>data rate</w:t>
      </w:r>
      <w:r w:rsidRPr="00E022E1">
        <w:rPr>
          <w:lang w:val="en-US"/>
        </w:rPr>
        <w:t xml:space="preserve"> (</w:t>
      </w:r>
      <w:r>
        <w:rPr>
          <w:lang w:val="en-US"/>
        </w:rPr>
        <w:t>Gbps</w:t>
      </w:r>
      <w:r w:rsidRPr="00E022E1">
        <w:rPr>
          <w:lang w:val="en-US"/>
        </w:rPr>
        <w:t>)</w:t>
      </w:r>
    </w:p>
    <w:p w14:paraId="50429CF3" w14:textId="0C3D8ABD" w:rsidR="00EB609D" w:rsidRDefault="00EB609D" w:rsidP="00DD65B2">
      <w:pPr>
        <w:jc w:val="center"/>
        <w:rPr>
          <w:lang w:eastAsia="zh-CN"/>
        </w:rPr>
      </w:pPr>
      <w:r>
        <w:rPr>
          <w:lang w:eastAsia="zh-CN"/>
        </w:rPr>
        <w:lastRenderedPageBreak/>
        <w:t>4-lay</w:t>
      </w:r>
      <w:r w:rsidR="007C303B">
        <w:rPr>
          <w:lang w:eastAsia="zh-CN"/>
        </w:rPr>
        <w:t>er uplink transmission, with 64</w:t>
      </w:r>
      <w:r>
        <w:rPr>
          <w:lang w:eastAsia="zh-CN"/>
        </w:rPr>
        <w:t>QAM modulation, and a maximum coding rate of 0.9258, DL/UL 4:1</w:t>
      </w:r>
    </w:p>
    <w:p w14:paraId="5199B2A7" w14:textId="77777777" w:rsidR="007E72A7" w:rsidRDefault="007E72A7" w:rsidP="00DD65B2">
      <w:pPr>
        <w:jc w:val="center"/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</w:tblGrid>
      <w:tr w:rsidR="00EB609D" w14:paraId="23C797F3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268BE8DA" w14:textId="77777777" w:rsidR="00EB609D" w:rsidRDefault="00EB609D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6070AD1D" w14:textId="77777777" w:rsidR="00EB609D" w:rsidRPr="00AA61CF" w:rsidRDefault="00EB609D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5DAE1B08" w14:textId="77777777" w:rsidR="00EB609D" w:rsidRPr="00AA61CF" w:rsidRDefault="00EB609D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7B4FF884" w14:textId="77777777" w:rsidR="00EB609D" w:rsidRPr="00AA61CF" w:rsidRDefault="00EB609D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45FDCE66" w14:textId="77777777" w:rsidR="00EB609D" w:rsidRPr="00AA61CF" w:rsidRDefault="00EB609D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34E3EF01" w14:textId="77777777" w:rsidR="00EB609D" w:rsidRPr="00AA61CF" w:rsidRDefault="00EB609D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200</w:t>
            </w:r>
          </w:p>
          <w:p w14:paraId="2754CBF0" w14:textId="77777777" w:rsidR="00EB609D" w:rsidRPr="00AA61CF" w:rsidRDefault="00EB609D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7B20701B" w14:textId="77777777" w:rsidR="00EB609D" w:rsidRPr="00AA61CF" w:rsidRDefault="00EB609D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400</w:t>
            </w:r>
          </w:p>
          <w:p w14:paraId="2679A54F" w14:textId="77777777" w:rsidR="00EB609D" w:rsidRPr="00AA61CF" w:rsidRDefault="00EB609D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7C303B" w14:paraId="37E6BAD3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3B1D0D5C" w14:textId="77777777" w:rsidR="007C303B" w:rsidRPr="00AA61CF" w:rsidRDefault="007C303B" w:rsidP="00DD65B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4965238" w14:textId="6EB568F6" w:rsidR="007C303B" w:rsidRPr="00E3298A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0.18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5DD1957" w14:textId="51E36AC9" w:rsidR="007C303B" w:rsidRPr="00E3298A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0.35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E220722" w14:textId="255B0E34" w:rsidR="007C303B" w:rsidRPr="00E3298A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0.71</w:t>
            </w:r>
          </w:p>
        </w:tc>
        <w:tc>
          <w:tcPr>
            <w:tcW w:w="700" w:type="dxa"/>
            <w:vAlign w:val="center"/>
          </w:tcPr>
          <w:p w14:paraId="3A7865D0" w14:textId="7DB57911" w:rsidR="007C303B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n/a</w:t>
            </w:r>
          </w:p>
        </w:tc>
      </w:tr>
      <w:tr w:rsidR="007C303B" w14:paraId="4AD9D16B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2999F776" w14:textId="77777777" w:rsidR="007C303B" w:rsidRPr="00AA61CF" w:rsidRDefault="007C303B" w:rsidP="00DD65B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120</w:t>
            </w:r>
          </w:p>
        </w:tc>
        <w:tc>
          <w:tcPr>
            <w:tcW w:w="701" w:type="dxa"/>
            <w:vAlign w:val="center"/>
          </w:tcPr>
          <w:p w14:paraId="12B7364C" w14:textId="2FF8FEFD" w:rsidR="007C303B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0.17</w:t>
            </w:r>
          </w:p>
        </w:tc>
        <w:tc>
          <w:tcPr>
            <w:tcW w:w="701" w:type="dxa"/>
            <w:vAlign w:val="center"/>
          </w:tcPr>
          <w:p w14:paraId="19AABF94" w14:textId="03C3113F" w:rsidR="007C303B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0.35</w:t>
            </w:r>
          </w:p>
        </w:tc>
        <w:tc>
          <w:tcPr>
            <w:tcW w:w="700" w:type="dxa"/>
            <w:vAlign w:val="center"/>
          </w:tcPr>
          <w:p w14:paraId="46844C8F" w14:textId="63D6DB93" w:rsidR="007C303B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0.71</w:t>
            </w:r>
          </w:p>
        </w:tc>
        <w:tc>
          <w:tcPr>
            <w:tcW w:w="700" w:type="dxa"/>
            <w:vAlign w:val="center"/>
          </w:tcPr>
          <w:p w14:paraId="5C79E1D7" w14:textId="0E493806" w:rsidR="007C303B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1.42</w:t>
            </w:r>
          </w:p>
        </w:tc>
      </w:tr>
    </w:tbl>
    <w:p w14:paraId="2143C752" w14:textId="77777777" w:rsidR="00EB609D" w:rsidRDefault="00EB609D" w:rsidP="00DD65B2">
      <w:pPr>
        <w:rPr>
          <w:lang w:val="en-US"/>
        </w:rPr>
      </w:pPr>
    </w:p>
    <w:p w14:paraId="40425946" w14:textId="77777777" w:rsidR="00EB609D" w:rsidRDefault="00EB609D" w:rsidP="00DD65B2">
      <w:pPr>
        <w:rPr>
          <w:lang w:val="en-US"/>
        </w:rPr>
      </w:pPr>
      <w:r>
        <w:rPr>
          <w:lang w:val="en-US"/>
        </w:rPr>
        <w:t>If we assume %100 transmission in the uplink instead of %20 evaluation shown in Table 8, we get:</w:t>
      </w:r>
    </w:p>
    <w:p w14:paraId="4C67AD04" w14:textId="77777777" w:rsidR="00EB609D" w:rsidRDefault="00EB609D" w:rsidP="00DD65B2">
      <w:pPr>
        <w:rPr>
          <w:b/>
          <w:bCs/>
          <w:lang w:val="en-US"/>
        </w:rPr>
      </w:pPr>
    </w:p>
    <w:p w14:paraId="40656372" w14:textId="02F4BC72" w:rsidR="00EB609D" w:rsidRDefault="00EB609D" w:rsidP="00DD65B2">
      <w:pPr>
        <w:jc w:val="center"/>
        <w:rPr>
          <w:lang w:val="en-US"/>
        </w:rPr>
      </w:pPr>
      <w:r>
        <w:rPr>
          <w:b/>
          <w:bCs/>
          <w:lang w:val="en-US"/>
        </w:rPr>
        <w:t xml:space="preserve">Table </w:t>
      </w:r>
      <w:r w:rsidR="007C303B">
        <w:rPr>
          <w:b/>
          <w:bCs/>
          <w:lang w:val="en-US"/>
        </w:rPr>
        <w:t>21</w:t>
      </w:r>
      <w:r w:rsidRPr="00E022E1">
        <w:rPr>
          <w:lang w:val="en-US"/>
        </w:rPr>
        <w:t xml:space="preserve"> </w:t>
      </w:r>
      <w:r>
        <w:rPr>
          <w:lang w:val="en-US"/>
        </w:rPr>
        <w:t>NR TDD frequency range of FR2 (24250 MHz – 52600</w:t>
      </w:r>
      <w:r w:rsidRPr="00017802">
        <w:rPr>
          <w:lang w:val="en-US"/>
        </w:rPr>
        <w:t xml:space="preserve"> MHz</w:t>
      </w:r>
      <w:r>
        <w:rPr>
          <w:lang w:val="en-US"/>
        </w:rPr>
        <w:t>) UL</w:t>
      </w:r>
      <w:r w:rsidRPr="00E022E1">
        <w:rPr>
          <w:lang w:val="en-US"/>
        </w:rPr>
        <w:t xml:space="preserve"> peak </w:t>
      </w:r>
      <w:r>
        <w:rPr>
          <w:lang w:val="en-US"/>
        </w:rPr>
        <w:t>data rate</w:t>
      </w:r>
      <w:r w:rsidRPr="00E022E1">
        <w:rPr>
          <w:lang w:val="en-US"/>
        </w:rPr>
        <w:t xml:space="preserve"> (</w:t>
      </w:r>
      <w:r>
        <w:rPr>
          <w:lang w:val="en-US"/>
        </w:rPr>
        <w:t>Gbps</w:t>
      </w:r>
      <w:r w:rsidRPr="00E022E1">
        <w:rPr>
          <w:lang w:val="en-US"/>
        </w:rPr>
        <w:t>)</w:t>
      </w:r>
    </w:p>
    <w:p w14:paraId="0CA4E2F6" w14:textId="77777777" w:rsidR="00EB609D" w:rsidRDefault="00EB609D" w:rsidP="00DD65B2">
      <w:pPr>
        <w:jc w:val="center"/>
        <w:rPr>
          <w:lang w:eastAsia="zh-CN"/>
        </w:rPr>
      </w:pPr>
      <w:r>
        <w:rPr>
          <w:lang w:eastAsia="zh-CN"/>
        </w:rPr>
        <w:t>4-layer uplink transmission, with 256QAM modulation, and a maximum coding rate of 0.9258, UL only</w:t>
      </w:r>
    </w:p>
    <w:p w14:paraId="10678378" w14:textId="77777777" w:rsidR="007E72A7" w:rsidRDefault="007E72A7" w:rsidP="00DD65B2">
      <w:pPr>
        <w:jc w:val="center"/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</w:tblGrid>
      <w:tr w:rsidR="00EB609D" w14:paraId="039A223B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2CA3A2FA" w14:textId="77777777" w:rsidR="00EB609D" w:rsidRDefault="00EB609D" w:rsidP="00DD6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1CB01FB9" w14:textId="77777777" w:rsidR="00EB609D" w:rsidRPr="00AA61CF" w:rsidRDefault="00EB609D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2BBDB9F3" w14:textId="77777777" w:rsidR="00EB609D" w:rsidRPr="00AA61CF" w:rsidRDefault="00EB609D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28936C88" w14:textId="77777777" w:rsidR="00EB609D" w:rsidRPr="00AA61CF" w:rsidRDefault="00EB609D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3AB75B4C" w14:textId="77777777" w:rsidR="00EB609D" w:rsidRPr="00AA61CF" w:rsidRDefault="00EB609D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27364DCD" w14:textId="77777777" w:rsidR="00EB609D" w:rsidRPr="00AA61CF" w:rsidRDefault="00EB609D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200</w:t>
            </w:r>
          </w:p>
          <w:p w14:paraId="6953671E" w14:textId="77777777" w:rsidR="00EB609D" w:rsidRPr="00AA61CF" w:rsidRDefault="00EB609D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3FA7EC33" w14:textId="77777777" w:rsidR="00EB609D" w:rsidRPr="00AA61CF" w:rsidRDefault="00EB609D" w:rsidP="00DD65B2">
            <w:pPr>
              <w:jc w:val="center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400</w:t>
            </w:r>
          </w:p>
          <w:p w14:paraId="281D357F" w14:textId="77777777" w:rsidR="00EB609D" w:rsidRPr="00AA61CF" w:rsidRDefault="00EB609D" w:rsidP="00DD65B2">
            <w:pPr>
              <w:jc w:val="center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7C303B" w14:paraId="575E111D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4B1FE3C9" w14:textId="77777777" w:rsidR="007C303B" w:rsidRPr="00AA61CF" w:rsidRDefault="007C303B" w:rsidP="00DD65B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1727242" w14:textId="552A0B41" w:rsidR="007C303B" w:rsidRPr="00E3298A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0.89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E961875" w14:textId="68F2FC6A" w:rsidR="007C303B" w:rsidRPr="00E3298A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1.77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F35091D" w14:textId="0BDB1B3E" w:rsidR="007C303B" w:rsidRPr="00E3298A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3.55</w:t>
            </w:r>
          </w:p>
        </w:tc>
        <w:tc>
          <w:tcPr>
            <w:tcW w:w="700" w:type="dxa"/>
            <w:vAlign w:val="center"/>
          </w:tcPr>
          <w:p w14:paraId="50AB5163" w14:textId="6DA10011" w:rsidR="007C303B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n/a</w:t>
            </w:r>
          </w:p>
        </w:tc>
      </w:tr>
      <w:tr w:rsidR="007C303B" w14:paraId="49CF0023" w14:textId="77777777" w:rsidTr="00DD65B2">
        <w:trPr>
          <w:trHeight w:val="460"/>
          <w:jc w:val="center"/>
        </w:trPr>
        <w:tc>
          <w:tcPr>
            <w:tcW w:w="948" w:type="dxa"/>
            <w:vAlign w:val="center"/>
          </w:tcPr>
          <w:p w14:paraId="4EC370AF" w14:textId="77777777" w:rsidR="007C303B" w:rsidRPr="00AA61CF" w:rsidRDefault="007C303B" w:rsidP="00DD65B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120</w:t>
            </w:r>
          </w:p>
        </w:tc>
        <w:tc>
          <w:tcPr>
            <w:tcW w:w="701" w:type="dxa"/>
            <w:vAlign w:val="center"/>
          </w:tcPr>
          <w:p w14:paraId="3AC6B9AC" w14:textId="2A3AED4E" w:rsidR="007C303B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0.86</w:t>
            </w:r>
          </w:p>
        </w:tc>
        <w:tc>
          <w:tcPr>
            <w:tcW w:w="701" w:type="dxa"/>
            <w:vAlign w:val="center"/>
          </w:tcPr>
          <w:p w14:paraId="74CDDBFD" w14:textId="0F9D963A" w:rsidR="007C303B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1.77</w:t>
            </w:r>
          </w:p>
        </w:tc>
        <w:tc>
          <w:tcPr>
            <w:tcW w:w="700" w:type="dxa"/>
            <w:vAlign w:val="center"/>
          </w:tcPr>
          <w:p w14:paraId="187D7751" w14:textId="245A3979" w:rsidR="007C303B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3.55</w:t>
            </w:r>
          </w:p>
        </w:tc>
        <w:tc>
          <w:tcPr>
            <w:tcW w:w="700" w:type="dxa"/>
            <w:vAlign w:val="center"/>
          </w:tcPr>
          <w:p w14:paraId="20572263" w14:textId="37A6ACD1" w:rsidR="007C303B" w:rsidRDefault="007C303B" w:rsidP="00DD65B2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7.10</w:t>
            </w:r>
          </w:p>
        </w:tc>
      </w:tr>
    </w:tbl>
    <w:p w14:paraId="051D6CDC" w14:textId="77777777" w:rsidR="007C303B" w:rsidRDefault="007C303B" w:rsidP="00DD65B2">
      <w:pPr>
        <w:rPr>
          <w:lang w:val="en-US"/>
        </w:rPr>
      </w:pPr>
    </w:p>
    <w:p w14:paraId="77E2B585" w14:textId="314409A9" w:rsidR="00EB609D" w:rsidRDefault="007C303B" w:rsidP="00DD65B2">
      <w:pPr>
        <w:pStyle w:val="Heading2"/>
        <w:rPr>
          <w:lang w:val="en-US"/>
        </w:rPr>
      </w:pPr>
      <w:r>
        <w:rPr>
          <w:lang w:val="en-US"/>
        </w:rPr>
        <w:t>LTE peak data rates and spectral efficiencies</w:t>
      </w:r>
    </w:p>
    <w:p w14:paraId="11FF4814" w14:textId="77777777" w:rsidR="007C303B" w:rsidRDefault="007C303B" w:rsidP="00DD65B2">
      <w:pPr>
        <w:rPr>
          <w:lang w:val="en-US"/>
        </w:rPr>
      </w:pPr>
    </w:p>
    <w:p w14:paraId="097CED7A" w14:textId="74FB6206" w:rsidR="007C303B" w:rsidRDefault="007E72A7" w:rsidP="00DD65B2">
      <w:pPr>
        <w:rPr>
          <w:lang w:val="en-US"/>
        </w:rPr>
      </w:pPr>
      <w:r>
        <w:rPr>
          <w:lang w:val="en-US"/>
        </w:rPr>
        <w:t>In order t</w:t>
      </w:r>
      <w:r w:rsidR="007C303B">
        <w:rPr>
          <w:lang w:val="en-US"/>
        </w:rPr>
        <w:t xml:space="preserve">o evaluate the LTE peak spectral </w:t>
      </w:r>
      <w:r w:rsidR="006C1F1B">
        <w:rPr>
          <w:lang w:val="en-US"/>
        </w:rPr>
        <w:t>efficiencies</w:t>
      </w:r>
      <w:r w:rsidR="007C303B">
        <w:rPr>
          <w:lang w:val="en-US"/>
        </w:rPr>
        <w:t xml:space="preserve"> for different bandwidths, we first calculate the peak speeds for the chann</w:t>
      </w:r>
      <w:r w:rsidR="006C1F1B">
        <w:rPr>
          <w:lang w:val="en-US"/>
        </w:rPr>
        <w:t>el bandwidths</w:t>
      </w:r>
      <w:r>
        <w:rPr>
          <w:lang w:val="en-US"/>
        </w:rPr>
        <w:t xml:space="preserve"> listed in Table 22</w:t>
      </w:r>
      <w:r w:rsidR="006C1F1B">
        <w:rPr>
          <w:lang w:val="en-US"/>
        </w:rPr>
        <w:t xml:space="preserve">: </w:t>
      </w:r>
    </w:p>
    <w:p w14:paraId="556D8A2F" w14:textId="77777777" w:rsidR="006C1F1B" w:rsidRDefault="006C1F1B" w:rsidP="00DD65B2">
      <w:pPr>
        <w:rPr>
          <w:lang w:val="en-US"/>
        </w:rPr>
      </w:pPr>
    </w:p>
    <w:p w14:paraId="4DD468CA" w14:textId="77777777" w:rsidR="006C1F1B" w:rsidRPr="007C303B" w:rsidRDefault="006C1F1B" w:rsidP="00DD65B2">
      <w:pPr>
        <w:rPr>
          <w:lang w:val="en-US"/>
        </w:rPr>
      </w:pPr>
    </w:p>
    <w:p w14:paraId="53A4B55B" w14:textId="65353C79" w:rsidR="006C1F1B" w:rsidRDefault="006C1F1B" w:rsidP="00DD65B2">
      <w:pPr>
        <w:jc w:val="center"/>
        <w:rPr>
          <w:lang w:val="en-US"/>
        </w:rPr>
      </w:pPr>
      <w:r>
        <w:rPr>
          <w:b/>
          <w:bCs/>
          <w:lang w:val="en-US"/>
        </w:rPr>
        <w:t>Table 22</w:t>
      </w:r>
      <w:r w:rsidRPr="00E022E1">
        <w:rPr>
          <w:lang w:val="en-US"/>
        </w:rPr>
        <w:t xml:space="preserve"> </w:t>
      </w:r>
      <w:r>
        <w:rPr>
          <w:lang w:val="en-US"/>
        </w:rPr>
        <w:t>LTE channel bandwidths and associated number of resource blocks</w:t>
      </w:r>
    </w:p>
    <w:p w14:paraId="58AE7FC0" w14:textId="77777777" w:rsidR="006C1F1B" w:rsidRDefault="006C1F1B" w:rsidP="00DD65B2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9"/>
        <w:gridCol w:w="701"/>
        <w:gridCol w:w="701"/>
        <w:gridCol w:w="700"/>
        <w:gridCol w:w="700"/>
      </w:tblGrid>
      <w:tr w:rsidR="006C1F1B" w14:paraId="02489520" w14:textId="77777777" w:rsidTr="00811CEE">
        <w:trPr>
          <w:trHeight w:val="288"/>
          <w:jc w:val="center"/>
        </w:trPr>
        <w:tc>
          <w:tcPr>
            <w:tcW w:w="948" w:type="dxa"/>
          </w:tcPr>
          <w:p w14:paraId="70CE350E" w14:textId="6D8C164B" w:rsidR="006C1F1B" w:rsidRDefault="006C1F1B" w:rsidP="00811CEE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Channel bandwidths</w:t>
            </w:r>
          </w:p>
        </w:tc>
        <w:tc>
          <w:tcPr>
            <w:tcW w:w="701" w:type="dxa"/>
            <w:vAlign w:val="center"/>
          </w:tcPr>
          <w:p w14:paraId="31D6417D" w14:textId="5F0530FB" w:rsidR="006C1F1B" w:rsidRPr="00AA61CF" w:rsidRDefault="006C1F1B" w:rsidP="00811CEE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</w:p>
          <w:p w14:paraId="039B255E" w14:textId="77777777" w:rsidR="006C1F1B" w:rsidRPr="00AA61CF" w:rsidRDefault="006C1F1B" w:rsidP="00811CEE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71F5292A" w14:textId="6534EB24" w:rsidR="006C1F1B" w:rsidRPr="00AA61CF" w:rsidRDefault="006C1F1B" w:rsidP="00811CEE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</w:p>
          <w:p w14:paraId="65391BEE" w14:textId="77777777" w:rsidR="006C1F1B" w:rsidRPr="00AA61CF" w:rsidRDefault="006C1F1B" w:rsidP="00811CEE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5AF1540C" w14:textId="07881E93" w:rsidR="006C1F1B" w:rsidRPr="00AA61CF" w:rsidRDefault="006C1F1B" w:rsidP="00811CEE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 xml:space="preserve">15 </w:t>
            </w:r>
          </w:p>
          <w:p w14:paraId="77324159" w14:textId="77777777" w:rsidR="006C1F1B" w:rsidRPr="00AA61CF" w:rsidRDefault="006C1F1B" w:rsidP="00811CEE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5E01F03C" w14:textId="69C699E4" w:rsidR="006C1F1B" w:rsidRPr="00AA61CF" w:rsidRDefault="006C1F1B" w:rsidP="00811CEE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</w:t>
            </w:r>
          </w:p>
          <w:p w14:paraId="0B6A2636" w14:textId="77777777" w:rsidR="006C1F1B" w:rsidRPr="00AA61CF" w:rsidRDefault="006C1F1B" w:rsidP="00811CEE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6C1F1B" w14:paraId="57A544C5" w14:textId="77777777" w:rsidTr="00811CEE">
        <w:trPr>
          <w:trHeight w:val="288"/>
          <w:jc w:val="center"/>
        </w:trPr>
        <w:tc>
          <w:tcPr>
            <w:tcW w:w="948" w:type="dxa"/>
          </w:tcPr>
          <w:p w14:paraId="56BC39B8" w14:textId="7A4C15E0" w:rsidR="006C1F1B" w:rsidRDefault="006C1F1B" w:rsidP="00811CEE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Pr="00DD65B2">
              <w:rPr>
                <w:vertAlign w:val="subscript"/>
                <w:lang w:val="en-US"/>
              </w:rPr>
              <w:t>RB</w:t>
            </w:r>
          </w:p>
        </w:tc>
        <w:tc>
          <w:tcPr>
            <w:tcW w:w="701" w:type="dxa"/>
            <w:vAlign w:val="center"/>
          </w:tcPr>
          <w:p w14:paraId="0DFF3505" w14:textId="53F02A2F" w:rsidR="006C1F1B" w:rsidRPr="00AA61CF" w:rsidRDefault="006C1F1B" w:rsidP="00811CEE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25</w:t>
            </w:r>
          </w:p>
        </w:tc>
        <w:tc>
          <w:tcPr>
            <w:tcW w:w="701" w:type="dxa"/>
            <w:vAlign w:val="center"/>
          </w:tcPr>
          <w:p w14:paraId="12A1A6E2" w14:textId="3F8F37FF" w:rsidR="006C1F1B" w:rsidRPr="00AA61CF" w:rsidRDefault="006C1F1B" w:rsidP="00811CEE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50</w:t>
            </w:r>
          </w:p>
        </w:tc>
        <w:tc>
          <w:tcPr>
            <w:tcW w:w="700" w:type="dxa"/>
            <w:vAlign w:val="center"/>
          </w:tcPr>
          <w:p w14:paraId="5E8BEA11" w14:textId="74641331" w:rsidR="006C1F1B" w:rsidRDefault="006C1F1B" w:rsidP="00811CEE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75</w:t>
            </w:r>
          </w:p>
        </w:tc>
        <w:tc>
          <w:tcPr>
            <w:tcW w:w="700" w:type="dxa"/>
            <w:vAlign w:val="center"/>
          </w:tcPr>
          <w:p w14:paraId="389F7055" w14:textId="3E412BAC" w:rsidR="006C1F1B" w:rsidRDefault="006C1F1B" w:rsidP="00811CEE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100</w:t>
            </w:r>
          </w:p>
        </w:tc>
      </w:tr>
    </w:tbl>
    <w:p w14:paraId="54E5E440" w14:textId="77777777" w:rsidR="007C303B" w:rsidRDefault="007C303B" w:rsidP="00DD65B2">
      <w:pPr>
        <w:rPr>
          <w:lang w:val="en-US"/>
        </w:rPr>
      </w:pPr>
    </w:p>
    <w:p w14:paraId="0BA18AE7" w14:textId="00270FA4" w:rsidR="006C1F1B" w:rsidRDefault="007E72A7" w:rsidP="00DD65B2">
      <w:pPr>
        <w:rPr>
          <w:lang w:val="en-US"/>
        </w:rPr>
      </w:pPr>
      <w:r>
        <w:rPr>
          <w:lang w:val="en-US"/>
        </w:rPr>
        <w:t>To determine maximally supported</w:t>
      </w:r>
      <w:r w:rsidR="006C1F1B">
        <w:rPr>
          <w:lang w:val="en-US"/>
        </w:rPr>
        <w:t xml:space="preserve"> peak LTE data rates</w:t>
      </w:r>
      <w:r>
        <w:rPr>
          <w:lang w:val="en-US"/>
        </w:rPr>
        <w:t xml:space="preserve"> assuming 8 spatial layers of transmission</w:t>
      </w:r>
      <w:r w:rsidR="006C1F1B">
        <w:rPr>
          <w:lang w:val="en-US"/>
        </w:rPr>
        <w:t xml:space="preserve">, we have relied on </w:t>
      </w:r>
      <w:r>
        <w:rPr>
          <w:lang w:val="en-US"/>
        </w:rPr>
        <w:t>transport block sizes</w:t>
      </w:r>
      <w:r w:rsidR="00E156F3">
        <w:rPr>
          <w:lang w:val="en-US"/>
        </w:rPr>
        <w:t xml:space="preserve"> specified in TS 36.213</w:t>
      </w:r>
      <w:r w:rsidR="006C1F1B">
        <w:rPr>
          <w:lang w:val="en-US"/>
        </w:rPr>
        <w:t xml:space="preserve">, section 7.1.7. </w:t>
      </w:r>
    </w:p>
    <w:p w14:paraId="5F6534B1" w14:textId="77777777" w:rsidR="006C1F1B" w:rsidRDefault="006C1F1B" w:rsidP="00DD65B2">
      <w:pPr>
        <w:rPr>
          <w:lang w:val="en-US"/>
        </w:rPr>
      </w:pPr>
    </w:p>
    <w:p w14:paraId="12724B29" w14:textId="6E66BD0E" w:rsidR="007C303B" w:rsidRDefault="006C1F1B" w:rsidP="00DD65B2">
      <w:pPr>
        <w:rPr>
          <w:lang w:val="en-US"/>
        </w:rPr>
      </w:pPr>
      <w:r>
        <w:rPr>
          <w:lang w:val="en-US"/>
        </w:rPr>
        <w:t xml:space="preserve">Assuming 1024QAM in the downlink(Qm=10), and using the number of resource blocks listed in Table 22 (above), maximal transport block sizes </w:t>
      </w:r>
      <w:r w:rsidR="0092682D">
        <w:rPr>
          <w:lang w:val="en-US"/>
        </w:rPr>
        <w:t xml:space="preserve">for a single spatial (MIMO) layer </w:t>
      </w:r>
      <w:r w:rsidR="00E156F3">
        <w:rPr>
          <w:lang w:val="en-US"/>
        </w:rPr>
        <w:t>from TS 36.213</w:t>
      </w:r>
      <w:r w:rsidR="007E72A7">
        <w:rPr>
          <w:lang w:val="en-US"/>
        </w:rPr>
        <w:t xml:space="preserve"> </w:t>
      </w:r>
      <w:r>
        <w:rPr>
          <w:lang w:val="en-US"/>
        </w:rPr>
        <w:t xml:space="preserve">are listed below: </w:t>
      </w:r>
    </w:p>
    <w:p w14:paraId="5BF4C78E" w14:textId="77777777" w:rsidR="006C1F1B" w:rsidRPr="007C303B" w:rsidRDefault="006C1F1B" w:rsidP="00DD65B2">
      <w:pPr>
        <w:rPr>
          <w:lang w:val="en-US"/>
        </w:rPr>
      </w:pPr>
    </w:p>
    <w:p w14:paraId="10B882CB" w14:textId="2709C192" w:rsidR="006C1F1B" w:rsidRDefault="006C1F1B" w:rsidP="00DD65B2">
      <w:pPr>
        <w:jc w:val="center"/>
        <w:rPr>
          <w:lang w:val="en-US"/>
        </w:rPr>
      </w:pPr>
      <w:r>
        <w:rPr>
          <w:b/>
          <w:bCs/>
          <w:lang w:val="en-US"/>
        </w:rPr>
        <w:t>Table 23</w:t>
      </w:r>
      <w:r w:rsidRPr="00E022E1">
        <w:rPr>
          <w:lang w:val="en-US"/>
        </w:rPr>
        <w:t xml:space="preserve"> </w:t>
      </w:r>
      <w:r>
        <w:rPr>
          <w:lang w:val="en-US"/>
        </w:rPr>
        <w:t>LTE transport block sizes for given channel bandwidths</w:t>
      </w:r>
    </w:p>
    <w:p w14:paraId="117E7074" w14:textId="77777777" w:rsidR="006C1F1B" w:rsidRDefault="006C1F1B" w:rsidP="00DD65B2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9"/>
        <w:gridCol w:w="701"/>
        <w:gridCol w:w="701"/>
        <w:gridCol w:w="700"/>
        <w:gridCol w:w="750"/>
      </w:tblGrid>
      <w:tr w:rsidR="006C1F1B" w14:paraId="292CC61F" w14:textId="77777777" w:rsidTr="00DD65B2">
        <w:trPr>
          <w:trHeight w:val="288"/>
          <w:jc w:val="center"/>
        </w:trPr>
        <w:tc>
          <w:tcPr>
            <w:tcW w:w="948" w:type="dxa"/>
          </w:tcPr>
          <w:p w14:paraId="3AACC94A" w14:textId="77777777" w:rsidR="006C1F1B" w:rsidRDefault="006C1F1B" w:rsidP="00811CEE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Channel bandwidths</w:t>
            </w:r>
          </w:p>
        </w:tc>
        <w:tc>
          <w:tcPr>
            <w:tcW w:w="701" w:type="dxa"/>
            <w:vAlign w:val="center"/>
          </w:tcPr>
          <w:p w14:paraId="11B2E9BD" w14:textId="77777777" w:rsidR="006C1F1B" w:rsidRPr="00AA61CF" w:rsidRDefault="006C1F1B" w:rsidP="00811CEE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</w:p>
          <w:p w14:paraId="17BDA093" w14:textId="77777777" w:rsidR="006C1F1B" w:rsidRPr="00AA61CF" w:rsidRDefault="006C1F1B" w:rsidP="00811CEE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60C5E19F" w14:textId="77777777" w:rsidR="006C1F1B" w:rsidRPr="00AA61CF" w:rsidRDefault="006C1F1B" w:rsidP="00811CEE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</w:p>
          <w:p w14:paraId="226D6FC6" w14:textId="77777777" w:rsidR="006C1F1B" w:rsidRPr="00AA61CF" w:rsidRDefault="006C1F1B" w:rsidP="00811CEE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5B65BEB1" w14:textId="77777777" w:rsidR="006C1F1B" w:rsidRPr="00AA61CF" w:rsidRDefault="006C1F1B" w:rsidP="00811CEE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 xml:space="preserve">15 </w:t>
            </w:r>
          </w:p>
          <w:p w14:paraId="69517C3E" w14:textId="77777777" w:rsidR="006C1F1B" w:rsidRPr="00AA61CF" w:rsidRDefault="006C1F1B" w:rsidP="00811CEE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76183E99" w14:textId="77777777" w:rsidR="006C1F1B" w:rsidRPr="00AA61CF" w:rsidRDefault="006C1F1B" w:rsidP="00811CEE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</w:t>
            </w:r>
          </w:p>
          <w:p w14:paraId="1B2658E3" w14:textId="77777777" w:rsidR="006C1F1B" w:rsidRPr="00AA61CF" w:rsidRDefault="006C1F1B" w:rsidP="00811CEE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6C1F1B" w14:paraId="445734A6" w14:textId="77777777" w:rsidTr="00DD65B2">
        <w:trPr>
          <w:trHeight w:val="288"/>
          <w:jc w:val="center"/>
        </w:trPr>
        <w:tc>
          <w:tcPr>
            <w:tcW w:w="948" w:type="dxa"/>
          </w:tcPr>
          <w:p w14:paraId="35B95BF1" w14:textId="77777777" w:rsidR="006C1F1B" w:rsidRDefault="006C1F1B" w:rsidP="00811CEE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Pr="00C6315A">
              <w:rPr>
                <w:vertAlign w:val="subscript"/>
                <w:lang w:val="en-US"/>
              </w:rPr>
              <w:t>RB</w:t>
            </w:r>
          </w:p>
        </w:tc>
        <w:tc>
          <w:tcPr>
            <w:tcW w:w="701" w:type="dxa"/>
            <w:vAlign w:val="center"/>
          </w:tcPr>
          <w:p w14:paraId="23090DBC" w14:textId="77777777" w:rsidR="006C1F1B" w:rsidRPr="00AA61CF" w:rsidRDefault="006C1F1B" w:rsidP="00811CEE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25</w:t>
            </w:r>
          </w:p>
        </w:tc>
        <w:tc>
          <w:tcPr>
            <w:tcW w:w="701" w:type="dxa"/>
            <w:vAlign w:val="center"/>
          </w:tcPr>
          <w:p w14:paraId="2D60AF54" w14:textId="77777777" w:rsidR="006C1F1B" w:rsidRPr="00AA61CF" w:rsidRDefault="006C1F1B" w:rsidP="00811CEE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50</w:t>
            </w:r>
          </w:p>
        </w:tc>
        <w:tc>
          <w:tcPr>
            <w:tcW w:w="700" w:type="dxa"/>
            <w:vAlign w:val="center"/>
          </w:tcPr>
          <w:p w14:paraId="7132EEAC" w14:textId="77777777" w:rsidR="006C1F1B" w:rsidRDefault="006C1F1B" w:rsidP="00811CEE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75</w:t>
            </w:r>
          </w:p>
        </w:tc>
        <w:tc>
          <w:tcPr>
            <w:tcW w:w="700" w:type="dxa"/>
            <w:vAlign w:val="center"/>
          </w:tcPr>
          <w:p w14:paraId="49FB2F6D" w14:textId="77777777" w:rsidR="006C1F1B" w:rsidRDefault="006C1F1B" w:rsidP="00811CEE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100</w:t>
            </w:r>
          </w:p>
        </w:tc>
      </w:tr>
      <w:tr w:rsidR="006C1F1B" w14:paraId="7DFB54C0" w14:textId="77777777" w:rsidTr="00DD65B2">
        <w:trPr>
          <w:trHeight w:val="288"/>
          <w:jc w:val="center"/>
        </w:trPr>
        <w:tc>
          <w:tcPr>
            <w:tcW w:w="948" w:type="dxa"/>
          </w:tcPr>
          <w:p w14:paraId="6B25F0F3" w14:textId="2DEF3739" w:rsidR="006C1F1B" w:rsidRDefault="006C1F1B" w:rsidP="00811CEE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TBS</w:t>
            </w:r>
          </w:p>
        </w:tc>
        <w:tc>
          <w:tcPr>
            <w:tcW w:w="701" w:type="dxa"/>
            <w:vAlign w:val="center"/>
          </w:tcPr>
          <w:p w14:paraId="299981E8" w14:textId="56788D72" w:rsidR="006C1F1B" w:rsidRDefault="000633B2" w:rsidP="00811CEE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EA745F">
              <w:rPr>
                <w:rFonts w:cs="Arial"/>
                <w:sz w:val="16"/>
                <w:szCs w:val="16"/>
              </w:rPr>
              <w:t>30576</w:t>
            </w:r>
          </w:p>
        </w:tc>
        <w:tc>
          <w:tcPr>
            <w:tcW w:w="701" w:type="dxa"/>
            <w:vAlign w:val="center"/>
          </w:tcPr>
          <w:p w14:paraId="01195CDA" w14:textId="230C2725" w:rsidR="006C1F1B" w:rsidRDefault="000633B2" w:rsidP="00811CEE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EA745F">
              <w:rPr>
                <w:rFonts w:cs="Arial"/>
                <w:sz w:val="16"/>
                <w:szCs w:val="16"/>
              </w:rPr>
              <w:t>61664</w:t>
            </w:r>
          </w:p>
        </w:tc>
        <w:tc>
          <w:tcPr>
            <w:tcW w:w="700" w:type="dxa"/>
            <w:vAlign w:val="center"/>
          </w:tcPr>
          <w:p w14:paraId="450BDA2E" w14:textId="445443BD" w:rsidR="006C1F1B" w:rsidRDefault="000633B2" w:rsidP="00811CEE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EA745F">
              <w:rPr>
                <w:rFonts w:cs="Arial"/>
                <w:sz w:val="16"/>
                <w:szCs w:val="16"/>
              </w:rPr>
              <w:t>93800</w:t>
            </w:r>
          </w:p>
        </w:tc>
        <w:tc>
          <w:tcPr>
            <w:tcW w:w="700" w:type="dxa"/>
            <w:vAlign w:val="center"/>
          </w:tcPr>
          <w:p w14:paraId="72BDFF62" w14:textId="336C1A6E" w:rsidR="006C1F1B" w:rsidRDefault="000633B2" w:rsidP="00811CEE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EA745F">
              <w:rPr>
                <w:rFonts w:cs="Arial"/>
                <w:sz w:val="16"/>
                <w:szCs w:val="16"/>
              </w:rPr>
              <w:t>125808</w:t>
            </w:r>
          </w:p>
        </w:tc>
      </w:tr>
    </w:tbl>
    <w:p w14:paraId="285CB2D4" w14:textId="77777777" w:rsidR="007C303B" w:rsidRDefault="007C303B" w:rsidP="00DD65B2">
      <w:pPr>
        <w:rPr>
          <w:lang w:val="en-US"/>
        </w:rPr>
      </w:pPr>
    </w:p>
    <w:p w14:paraId="07453561" w14:textId="77777777" w:rsidR="007C303B" w:rsidRDefault="007C303B" w:rsidP="00DD65B2">
      <w:pPr>
        <w:rPr>
          <w:lang w:val="en-US"/>
        </w:rPr>
      </w:pPr>
    </w:p>
    <w:p w14:paraId="553ECE3E" w14:textId="139B2959" w:rsidR="000633B2" w:rsidRDefault="000633B2" w:rsidP="00DD65B2">
      <w:pPr>
        <w:rPr>
          <w:lang w:val="en-US"/>
        </w:rPr>
      </w:pPr>
      <w:r>
        <w:rPr>
          <w:lang w:val="en-US"/>
        </w:rPr>
        <w:lastRenderedPageBreak/>
        <w:t xml:space="preserve">After mapping </w:t>
      </w:r>
      <w:r w:rsidR="0092682D">
        <w:rPr>
          <w:lang w:val="en-US"/>
        </w:rPr>
        <w:t xml:space="preserve">from one </w:t>
      </w:r>
      <w:r>
        <w:rPr>
          <w:lang w:val="en-US"/>
        </w:rPr>
        <w:t xml:space="preserve">to </w:t>
      </w:r>
      <w:r w:rsidR="0092682D">
        <w:rPr>
          <w:lang w:val="en-US"/>
        </w:rPr>
        <w:t>four</w:t>
      </w:r>
      <w:r>
        <w:rPr>
          <w:lang w:val="en-US"/>
        </w:rPr>
        <w:t xml:space="preserve"> layers and accounting for 2 codewords (for 8 layer transmission), the peak data rates and spectral efficiency for the DL components are: </w:t>
      </w:r>
    </w:p>
    <w:p w14:paraId="72193C0A" w14:textId="77777777" w:rsidR="000633B2" w:rsidRDefault="000633B2" w:rsidP="00DD65B2">
      <w:pPr>
        <w:rPr>
          <w:lang w:val="en-US"/>
        </w:rPr>
      </w:pPr>
    </w:p>
    <w:p w14:paraId="18808395" w14:textId="3C53C6B8" w:rsidR="000633B2" w:rsidRDefault="000633B2" w:rsidP="00DD65B2">
      <w:pPr>
        <w:jc w:val="center"/>
        <w:rPr>
          <w:lang w:val="en-US"/>
        </w:rPr>
      </w:pPr>
      <w:r>
        <w:rPr>
          <w:b/>
          <w:bCs/>
          <w:lang w:val="en-US"/>
        </w:rPr>
        <w:t>Table 2</w:t>
      </w:r>
      <w:r w:rsidR="00BC29BA">
        <w:rPr>
          <w:b/>
          <w:bCs/>
          <w:lang w:val="en-US"/>
        </w:rPr>
        <w:t>4</w:t>
      </w:r>
      <w:r w:rsidRPr="00E022E1">
        <w:rPr>
          <w:lang w:val="en-US"/>
        </w:rPr>
        <w:t xml:space="preserve"> </w:t>
      </w:r>
      <w:r>
        <w:rPr>
          <w:lang w:val="en-US"/>
        </w:rPr>
        <w:t>LTE peak data rates and spectral efficiencies in the DL for 1024QAM</w:t>
      </w:r>
    </w:p>
    <w:p w14:paraId="1544A0EE" w14:textId="77777777" w:rsidR="000633B2" w:rsidRDefault="000633B2" w:rsidP="00DD65B2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9"/>
        <w:gridCol w:w="718"/>
        <w:gridCol w:w="718"/>
        <w:gridCol w:w="718"/>
        <w:gridCol w:w="718"/>
      </w:tblGrid>
      <w:tr w:rsidR="000633B2" w14:paraId="709B0057" w14:textId="77777777" w:rsidTr="00811CEE">
        <w:trPr>
          <w:trHeight w:val="288"/>
          <w:jc w:val="center"/>
        </w:trPr>
        <w:tc>
          <w:tcPr>
            <w:tcW w:w="948" w:type="dxa"/>
          </w:tcPr>
          <w:p w14:paraId="04DE8DFA" w14:textId="77777777" w:rsidR="000633B2" w:rsidRDefault="000633B2" w:rsidP="00811CEE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Channel bandwidths</w:t>
            </w:r>
          </w:p>
        </w:tc>
        <w:tc>
          <w:tcPr>
            <w:tcW w:w="701" w:type="dxa"/>
            <w:vAlign w:val="center"/>
          </w:tcPr>
          <w:p w14:paraId="68F9562E" w14:textId="77777777" w:rsidR="000633B2" w:rsidRPr="00AA61CF" w:rsidRDefault="000633B2" w:rsidP="00811CEE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</w:p>
          <w:p w14:paraId="406C22EA" w14:textId="77777777" w:rsidR="000633B2" w:rsidRPr="00AA61CF" w:rsidRDefault="000633B2" w:rsidP="00811CEE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0F843CAF" w14:textId="77777777" w:rsidR="000633B2" w:rsidRPr="00AA61CF" w:rsidRDefault="000633B2" w:rsidP="00811CEE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</w:p>
          <w:p w14:paraId="5F18B899" w14:textId="77777777" w:rsidR="000633B2" w:rsidRPr="00AA61CF" w:rsidRDefault="000633B2" w:rsidP="00811CEE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526EBA2B" w14:textId="77777777" w:rsidR="000633B2" w:rsidRPr="00AA61CF" w:rsidRDefault="000633B2" w:rsidP="00811CEE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 xml:space="preserve">15 </w:t>
            </w:r>
          </w:p>
          <w:p w14:paraId="7CE8F5BC" w14:textId="77777777" w:rsidR="000633B2" w:rsidRPr="00AA61CF" w:rsidRDefault="000633B2" w:rsidP="00811CEE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10281FA4" w14:textId="77777777" w:rsidR="000633B2" w:rsidRPr="00AA61CF" w:rsidRDefault="000633B2" w:rsidP="00811CEE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</w:t>
            </w:r>
          </w:p>
          <w:p w14:paraId="6E52913F" w14:textId="77777777" w:rsidR="000633B2" w:rsidRPr="00AA61CF" w:rsidRDefault="000633B2" w:rsidP="00811CEE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0633B2" w14:paraId="619E085A" w14:textId="77777777" w:rsidTr="00811CEE">
        <w:trPr>
          <w:trHeight w:val="288"/>
          <w:jc w:val="center"/>
        </w:trPr>
        <w:tc>
          <w:tcPr>
            <w:tcW w:w="948" w:type="dxa"/>
          </w:tcPr>
          <w:p w14:paraId="0568FD86" w14:textId="22A4503C" w:rsidR="000633B2" w:rsidRDefault="000633B2" w:rsidP="00811CEE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Rpeak (Gbps)</w:t>
            </w:r>
          </w:p>
        </w:tc>
        <w:tc>
          <w:tcPr>
            <w:tcW w:w="701" w:type="dxa"/>
            <w:vAlign w:val="center"/>
          </w:tcPr>
          <w:p w14:paraId="27D2B128" w14:textId="13EDBE25" w:rsidR="000633B2" w:rsidRPr="00DD65B2" w:rsidRDefault="000633B2" w:rsidP="00DD65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701" w:type="dxa"/>
            <w:vAlign w:val="center"/>
          </w:tcPr>
          <w:p w14:paraId="58E31D34" w14:textId="6C93999A" w:rsidR="000633B2" w:rsidRPr="00DD65B2" w:rsidRDefault="000633B2" w:rsidP="00DD65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65B2">
              <w:rPr>
                <w:rFonts w:ascii="Calibri" w:hAnsi="Calibri" w:cs="Calibri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700" w:type="dxa"/>
            <w:vAlign w:val="center"/>
          </w:tcPr>
          <w:p w14:paraId="1BE42D48" w14:textId="54855D2A" w:rsidR="000633B2" w:rsidRPr="00DD65B2" w:rsidRDefault="000633B2" w:rsidP="00DD65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700" w:type="dxa"/>
            <w:vAlign w:val="center"/>
          </w:tcPr>
          <w:p w14:paraId="1BA9F162" w14:textId="16CD0DD1" w:rsidR="000633B2" w:rsidRPr="00DD65B2" w:rsidRDefault="000633B2" w:rsidP="00DD65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</w:t>
            </w:r>
          </w:p>
        </w:tc>
      </w:tr>
      <w:tr w:rsidR="000633B2" w14:paraId="77F6EC3D" w14:textId="77777777" w:rsidTr="00811CEE">
        <w:trPr>
          <w:trHeight w:val="288"/>
          <w:jc w:val="center"/>
        </w:trPr>
        <w:tc>
          <w:tcPr>
            <w:tcW w:w="948" w:type="dxa"/>
          </w:tcPr>
          <w:p w14:paraId="06B3570A" w14:textId="143C9328" w:rsidR="000633B2" w:rsidRDefault="000633B2" w:rsidP="00811CEE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SE</w:t>
            </w:r>
          </w:p>
        </w:tc>
        <w:tc>
          <w:tcPr>
            <w:tcW w:w="701" w:type="dxa"/>
            <w:vAlign w:val="center"/>
          </w:tcPr>
          <w:p w14:paraId="291ED527" w14:textId="206AF5DA" w:rsidR="000633B2" w:rsidRPr="00DD65B2" w:rsidRDefault="000633B2" w:rsidP="00DD65B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49.78</w:t>
            </w:r>
          </w:p>
        </w:tc>
        <w:tc>
          <w:tcPr>
            <w:tcW w:w="701" w:type="dxa"/>
            <w:vAlign w:val="center"/>
          </w:tcPr>
          <w:p w14:paraId="1EE40DB0" w14:textId="52386BAB" w:rsidR="000633B2" w:rsidRPr="00DD65B2" w:rsidRDefault="000633B2" w:rsidP="00DD65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49.12</w:t>
            </w:r>
          </w:p>
        </w:tc>
        <w:tc>
          <w:tcPr>
            <w:tcW w:w="700" w:type="dxa"/>
            <w:vAlign w:val="center"/>
          </w:tcPr>
          <w:p w14:paraId="2DEDEE95" w14:textId="0AF5CC68" w:rsidR="000633B2" w:rsidRPr="00DD65B2" w:rsidRDefault="000633B2" w:rsidP="00DD65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50.05</w:t>
            </w:r>
          </w:p>
        </w:tc>
        <w:tc>
          <w:tcPr>
            <w:tcW w:w="700" w:type="dxa"/>
            <w:vAlign w:val="center"/>
          </w:tcPr>
          <w:p w14:paraId="1BE69536" w14:textId="12AF7346" w:rsidR="000633B2" w:rsidRPr="00DD65B2" w:rsidRDefault="000633B2" w:rsidP="00DD65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50.26</w:t>
            </w:r>
          </w:p>
        </w:tc>
      </w:tr>
    </w:tbl>
    <w:p w14:paraId="0FE5F3D2" w14:textId="77777777" w:rsidR="000633B2" w:rsidRDefault="000633B2" w:rsidP="00DD65B2">
      <w:pPr>
        <w:rPr>
          <w:lang w:val="en-US"/>
        </w:rPr>
      </w:pPr>
    </w:p>
    <w:p w14:paraId="657B0A05" w14:textId="129CB34B" w:rsidR="000633B2" w:rsidRDefault="00253479" w:rsidP="00DD65B2">
      <w:pPr>
        <w:rPr>
          <w:lang w:val="en-US"/>
        </w:rPr>
      </w:pPr>
      <w:r>
        <w:rPr>
          <w:lang w:val="en-US"/>
        </w:rPr>
        <w:t>Given that LTE allows up to 32 component carriers in carrier aggregation, the peak DL data arte can be as high as 32 Gbps</w:t>
      </w:r>
      <w:r w:rsidR="0092682D">
        <w:rPr>
          <w:lang w:val="en-US"/>
        </w:rPr>
        <w:t xml:space="preserve"> assuming 20 MHz channels</w:t>
      </w:r>
      <w:r>
        <w:rPr>
          <w:lang w:val="en-US"/>
        </w:rPr>
        <w:t xml:space="preserve">. </w:t>
      </w:r>
      <w:r w:rsidR="00C75D00">
        <w:rPr>
          <w:lang w:val="en-US"/>
        </w:rPr>
        <w:t>At the same time, the peak spectral efficiency values o</w:t>
      </w:r>
      <w:bookmarkStart w:id="0" w:name="_GoBack"/>
      <w:bookmarkEnd w:id="0"/>
      <w:r w:rsidR="00C75D00">
        <w:rPr>
          <w:lang w:val="en-US"/>
        </w:rPr>
        <w:t>f around 50 b/s/Hz leave more than sufficient r</w:t>
      </w:r>
      <w:r w:rsidR="0092682D">
        <w:rPr>
          <w:lang w:val="en-US"/>
        </w:rPr>
        <w:t xml:space="preserve">oom for any overhead variation that would account for a mix of </w:t>
      </w:r>
      <w:r w:rsidR="0092682D">
        <w:rPr>
          <w:lang w:eastAsia="zh-CN"/>
        </w:rPr>
        <w:t xml:space="preserve">MBSFN and non-MBSFN subframes for example. </w:t>
      </w:r>
    </w:p>
    <w:p w14:paraId="4A325AA3" w14:textId="77777777" w:rsidR="00BC29BA" w:rsidRDefault="00BC29BA" w:rsidP="00DD65B2">
      <w:pPr>
        <w:rPr>
          <w:lang w:val="en-US"/>
        </w:rPr>
      </w:pPr>
    </w:p>
    <w:p w14:paraId="08CBF011" w14:textId="356505CD" w:rsidR="00BC29BA" w:rsidRDefault="00BC29BA" w:rsidP="00DD65B2">
      <w:pPr>
        <w:rPr>
          <w:color w:val="000000" w:themeColor="text1"/>
        </w:rPr>
      </w:pPr>
      <w:r>
        <w:rPr>
          <w:lang w:val="en-US"/>
        </w:rPr>
        <w:t>Similarly, for the UL, using the transport block size index of I</w:t>
      </w:r>
      <w:r w:rsidRPr="00DD65B2">
        <w:rPr>
          <w:vertAlign w:val="subscript"/>
          <w:lang w:val="en-US"/>
        </w:rPr>
        <w:t>TBS</w:t>
      </w:r>
      <w:r>
        <w:rPr>
          <w:lang w:val="en-US"/>
        </w:rPr>
        <w:t xml:space="preserve">=34, a 20 MHz channel can have transport block size of </w:t>
      </w:r>
      <w:r w:rsidRPr="000D3CFB">
        <w:rPr>
          <w:rFonts w:ascii="Arial" w:hAnsi="Arial" w:cs="Arial"/>
          <w:sz w:val="16"/>
          <w:szCs w:val="16"/>
        </w:rPr>
        <w:t>105528</w:t>
      </w:r>
      <w:r>
        <w:rPr>
          <w:rFonts w:ascii="Arial" w:hAnsi="Arial" w:cs="Arial"/>
          <w:sz w:val="16"/>
          <w:szCs w:val="16"/>
        </w:rPr>
        <w:t xml:space="preserve"> bits per transmit time interval, which is mapped onto </w:t>
      </w:r>
      <w:r w:rsidRPr="00EF42E7">
        <w:rPr>
          <w:color w:val="000000" w:themeColor="text1"/>
        </w:rPr>
        <w:t>422232</w:t>
      </w:r>
      <w:r>
        <w:rPr>
          <w:color w:val="000000" w:themeColor="text1"/>
        </w:rPr>
        <w:t xml:space="preserve"> bits for a 4 layer UL transmission. This corresponds to about 420 Mb/s of peak data rates for a single 20 MHz channel, or to SE</w:t>
      </w:r>
      <w:r w:rsidRPr="00DD65B2">
        <w:rPr>
          <w:color w:val="000000" w:themeColor="text1"/>
          <w:vertAlign w:val="subscript"/>
        </w:rPr>
        <w:t>UL</w:t>
      </w:r>
      <w:r>
        <w:rPr>
          <w:color w:val="000000" w:themeColor="text1"/>
        </w:rPr>
        <w:t xml:space="preserve"> = 21 b/s/Hz. </w:t>
      </w:r>
    </w:p>
    <w:p w14:paraId="2096FD7E" w14:textId="77777777" w:rsidR="0092682D" w:rsidRPr="00DD65B2" w:rsidRDefault="0092682D" w:rsidP="00DD65B2">
      <w:pPr>
        <w:rPr>
          <w:lang w:val="en-US"/>
        </w:rPr>
      </w:pPr>
    </w:p>
    <w:p w14:paraId="2B2C90E3" w14:textId="044E73C8" w:rsidR="0019299A" w:rsidRPr="00541203" w:rsidRDefault="0019299A" w:rsidP="00DD65B2">
      <w:pPr>
        <w:pStyle w:val="Heading1"/>
        <w:rPr>
          <w:lang w:val="en-US"/>
        </w:rPr>
      </w:pPr>
      <w:r w:rsidRPr="00541203">
        <w:rPr>
          <w:lang w:val="en-US"/>
        </w:rPr>
        <w:t>Conclusion</w:t>
      </w:r>
    </w:p>
    <w:p w14:paraId="2849E716" w14:textId="25027D03" w:rsidR="0074408F" w:rsidRDefault="0074408F" w:rsidP="00DD65B2">
      <w:pPr>
        <w:rPr>
          <w:lang w:val="en-US"/>
        </w:rPr>
      </w:pPr>
      <w:r w:rsidRPr="00247A3B">
        <w:rPr>
          <w:b/>
          <w:u w:val="single"/>
          <w:lang w:val="en-US"/>
        </w:rPr>
        <w:t>Observat</w:t>
      </w:r>
      <w:r>
        <w:rPr>
          <w:b/>
          <w:u w:val="single"/>
          <w:lang w:val="en-US"/>
        </w:rPr>
        <w:t>ion 1</w:t>
      </w:r>
      <w:r w:rsidRPr="00247A3B">
        <w:rPr>
          <w:b/>
          <w:u w:val="single"/>
          <w:lang w:val="en-US"/>
        </w:rPr>
        <w:t>:</w:t>
      </w:r>
      <w:r>
        <w:rPr>
          <w:lang w:val="en-US"/>
        </w:rPr>
        <w:t xml:space="preserve"> The </w:t>
      </w:r>
      <w:r w:rsidR="005A73EC">
        <w:rPr>
          <w:lang w:val="en-US"/>
        </w:rPr>
        <w:t>Peak</w:t>
      </w:r>
      <w:r w:rsidR="0071491A">
        <w:rPr>
          <w:lang w:val="en-US"/>
        </w:rPr>
        <w:t xml:space="preserve"> Spectral Efficiency </w:t>
      </w:r>
      <w:r>
        <w:rPr>
          <w:lang w:val="en-US"/>
        </w:rPr>
        <w:t>values computed in this paper</w:t>
      </w:r>
      <w:r w:rsidR="00BB5EE3">
        <w:rPr>
          <w:lang w:val="en-US"/>
        </w:rPr>
        <w:t>, for both NR and LTE,</w:t>
      </w:r>
      <w:r>
        <w:rPr>
          <w:lang w:val="en-US"/>
        </w:rPr>
        <w:t xml:space="preserve"> </w:t>
      </w:r>
      <w:r w:rsidR="0071491A">
        <w:rPr>
          <w:lang w:val="en-US"/>
        </w:rPr>
        <w:t xml:space="preserve">fulfill </w:t>
      </w:r>
      <w:r w:rsidR="005A73EC">
        <w:rPr>
          <w:lang w:val="en-US"/>
        </w:rPr>
        <w:t>the ITU-R targets for these technical performance requirements.</w:t>
      </w:r>
    </w:p>
    <w:p w14:paraId="6D20E585" w14:textId="77777777" w:rsidR="0092682D" w:rsidRDefault="0092682D" w:rsidP="00DD65B2">
      <w:pPr>
        <w:rPr>
          <w:lang w:val="en-US"/>
        </w:rPr>
      </w:pPr>
    </w:p>
    <w:p w14:paraId="417FD617" w14:textId="6B829D46" w:rsidR="00374874" w:rsidRPr="00D832EB" w:rsidRDefault="0074408F" w:rsidP="00DD65B2">
      <w:pPr>
        <w:rPr>
          <w:lang w:val="en-US"/>
        </w:rPr>
      </w:pPr>
      <w:r>
        <w:rPr>
          <w:b/>
          <w:u w:val="single"/>
          <w:lang w:val="en-US"/>
        </w:rPr>
        <w:t>Observation 2</w:t>
      </w:r>
      <w:r w:rsidR="00D035A4" w:rsidRPr="00D035A4">
        <w:rPr>
          <w:b/>
          <w:u w:val="single"/>
          <w:lang w:val="en-US"/>
        </w:rPr>
        <w:t>:</w:t>
      </w:r>
      <w:r w:rsidR="00D035A4">
        <w:rPr>
          <w:lang w:val="en-US"/>
        </w:rPr>
        <w:t xml:space="preserve"> </w:t>
      </w:r>
      <w:r w:rsidR="005A73EC">
        <w:rPr>
          <w:lang w:val="en-US"/>
        </w:rPr>
        <w:t>The Peak Data Rate values computed in this paper</w:t>
      </w:r>
      <w:r w:rsidR="00BB5EE3">
        <w:rPr>
          <w:lang w:val="en-US"/>
        </w:rPr>
        <w:t>, for both NR and LTE,</w:t>
      </w:r>
      <w:r w:rsidR="005A73EC">
        <w:rPr>
          <w:lang w:val="en-US"/>
        </w:rPr>
        <w:t xml:space="preserve"> fulfill the ITU-R targets for these technical performance requirements.</w:t>
      </w:r>
      <w:r w:rsidR="00D035A4">
        <w:rPr>
          <w:lang w:val="en-US"/>
        </w:rPr>
        <w:t xml:space="preserve"> </w:t>
      </w:r>
    </w:p>
    <w:p w14:paraId="51F8A51B" w14:textId="77777777" w:rsidR="00374874" w:rsidRDefault="00374874" w:rsidP="00DD65B2">
      <w:pPr>
        <w:rPr>
          <w:lang w:eastAsia="zh-TW"/>
        </w:rPr>
      </w:pPr>
    </w:p>
    <w:p w14:paraId="7B48D05C" w14:textId="77777777" w:rsidR="00374874" w:rsidRDefault="00374874" w:rsidP="00DD65B2">
      <w:pPr>
        <w:rPr>
          <w:lang w:eastAsia="zh-TW"/>
        </w:rPr>
      </w:pPr>
    </w:p>
    <w:p w14:paraId="469F2BCB" w14:textId="4AE2D66C" w:rsidR="0081266A" w:rsidRPr="00320E43" w:rsidRDefault="0081266A" w:rsidP="00DD65B2">
      <w:pPr>
        <w:pStyle w:val="Heading1"/>
        <w:rPr>
          <w:lang w:eastAsia="zh-TW"/>
        </w:rPr>
      </w:pPr>
      <w:r w:rsidRPr="00320E43">
        <w:rPr>
          <w:lang w:eastAsia="zh-TW"/>
        </w:rPr>
        <w:t>References</w:t>
      </w:r>
    </w:p>
    <w:p w14:paraId="734983B6" w14:textId="5D957308" w:rsidR="00ED7F1A" w:rsidRPr="00374874" w:rsidRDefault="00374874" w:rsidP="00374874">
      <w:pPr>
        <w:numPr>
          <w:ilvl w:val="0"/>
          <w:numId w:val="1"/>
        </w:numPr>
        <w:spacing w:before="60" w:after="60" w:line="276" w:lineRule="auto"/>
        <w:jc w:val="both"/>
      </w:pPr>
      <w:r w:rsidRPr="00D7050A">
        <w:rPr>
          <w:lang w:val="en-US"/>
        </w:rPr>
        <w:t>ITU-R M.2410-0</w:t>
      </w:r>
      <w:r>
        <w:rPr>
          <w:lang w:val="en-US"/>
        </w:rPr>
        <w:t xml:space="preserve">, </w:t>
      </w:r>
      <w:r w:rsidRPr="00374874">
        <w:rPr>
          <w:lang w:val="en-US"/>
        </w:rPr>
        <w:t>Minimum requirements related to technical performance for IMT-2020 radio interface(s)</w:t>
      </w:r>
    </w:p>
    <w:p w14:paraId="496ADA0A" w14:textId="702F4F4B" w:rsidR="00374874" w:rsidRDefault="00374874" w:rsidP="00374874">
      <w:pPr>
        <w:numPr>
          <w:ilvl w:val="0"/>
          <w:numId w:val="1"/>
        </w:numPr>
        <w:spacing w:before="60" w:after="60" w:line="276" w:lineRule="auto"/>
        <w:jc w:val="both"/>
      </w:pPr>
      <w:r w:rsidRPr="00374874">
        <w:t>3GPP 38.306</w:t>
      </w:r>
      <w:r>
        <w:t xml:space="preserve">, </w:t>
      </w:r>
      <w:r w:rsidRPr="00374874">
        <w:t>NR; User Equipment (UE) radio access capabilities</w:t>
      </w:r>
    </w:p>
    <w:sectPr w:rsidR="00374874" w:rsidSect="00A86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29E63" w14:textId="77777777" w:rsidR="00446231" w:rsidRDefault="00446231" w:rsidP="00F80CA8">
      <w:r>
        <w:separator/>
      </w:r>
    </w:p>
  </w:endnote>
  <w:endnote w:type="continuationSeparator" w:id="0">
    <w:p w14:paraId="13345386" w14:textId="77777777" w:rsidR="00446231" w:rsidRDefault="00446231" w:rsidP="00F8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C6F51" w14:textId="77777777" w:rsidR="00446231" w:rsidRDefault="00446231" w:rsidP="00F80CA8">
      <w:r>
        <w:separator/>
      </w:r>
    </w:p>
  </w:footnote>
  <w:footnote w:type="continuationSeparator" w:id="0">
    <w:p w14:paraId="49795D09" w14:textId="77777777" w:rsidR="00446231" w:rsidRDefault="00446231" w:rsidP="00F80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06F4C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BC33B8D"/>
    <w:multiLevelType w:val="hybridMultilevel"/>
    <w:tmpl w:val="BA607A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25BD2"/>
    <w:multiLevelType w:val="hybridMultilevel"/>
    <w:tmpl w:val="FFEE103A"/>
    <w:lvl w:ilvl="0" w:tplc="C986C954">
      <w:start w:val="1"/>
      <w:numFmt w:val="decimal"/>
      <w:lvlText w:val="[%1]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98408AD"/>
    <w:multiLevelType w:val="hybridMultilevel"/>
    <w:tmpl w:val="FB42B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D4148"/>
    <w:multiLevelType w:val="hybridMultilevel"/>
    <w:tmpl w:val="63F668D6"/>
    <w:lvl w:ilvl="0" w:tplc="538A63A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5E775E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233842"/>
    <w:multiLevelType w:val="hybridMultilevel"/>
    <w:tmpl w:val="EDB49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6A"/>
    <w:rsid w:val="0000141D"/>
    <w:rsid w:val="00001D7B"/>
    <w:rsid w:val="000031EF"/>
    <w:rsid w:val="00003988"/>
    <w:rsid w:val="00003C93"/>
    <w:rsid w:val="000058B5"/>
    <w:rsid w:val="00007211"/>
    <w:rsid w:val="000074EB"/>
    <w:rsid w:val="00010106"/>
    <w:rsid w:val="000108AD"/>
    <w:rsid w:val="000109EA"/>
    <w:rsid w:val="000123C0"/>
    <w:rsid w:val="00012E47"/>
    <w:rsid w:val="000134A4"/>
    <w:rsid w:val="000147D2"/>
    <w:rsid w:val="000151C6"/>
    <w:rsid w:val="00015370"/>
    <w:rsid w:val="00015AA5"/>
    <w:rsid w:val="000163C4"/>
    <w:rsid w:val="00016BE1"/>
    <w:rsid w:val="00017477"/>
    <w:rsid w:val="000175EA"/>
    <w:rsid w:val="00017802"/>
    <w:rsid w:val="00020C6E"/>
    <w:rsid w:val="000211AB"/>
    <w:rsid w:val="0002266B"/>
    <w:rsid w:val="00023987"/>
    <w:rsid w:val="00025449"/>
    <w:rsid w:val="000256D7"/>
    <w:rsid w:val="0002581E"/>
    <w:rsid w:val="000259B9"/>
    <w:rsid w:val="00025A5C"/>
    <w:rsid w:val="000266AD"/>
    <w:rsid w:val="00027073"/>
    <w:rsid w:val="000275DE"/>
    <w:rsid w:val="00030012"/>
    <w:rsid w:val="000305E3"/>
    <w:rsid w:val="00030737"/>
    <w:rsid w:val="000309D1"/>
    <w:rsid w:val="00031F9C"/>
    <w:rsid w:val="00033EC7"/>
    <w:rsid w:val="00033F51"/>
    <w:rsid w:val="00034888"/>
    <w:rsid w:val="00034FA5"/>
    <w:rsid w:val="00035274"/>
    <w:rsid w:val="00035F58"/>
    <w:rsid w:val="0003724D"/>
    <w:rsid w:val="000378F1"/>
    <w:rsid w:val="000400F2"/>
    <w:rsid w:val="00041565"/>
    <w:rsid w:val="00042EC1"/>
    <w:rsid w:val="0004613F"/>
    <w:rsid w:val="00046B8F"/>
    <w:rsid w:val="00050A5B"/>
    <w:rsid w:val="00050BE9"/>
    <w:rsid w:val="000519A3"/>
    <w:rsid w:val="0005261A"/>
    <w:rsid w:val="000529B3"/>
    <w:rsid w:val="000537E0"/>
    <w:rsid w:val="00053B8B"/>
    <w:rsid w:val="0005402F"/>
    <w:rsid w:val="00055531"/>
    <w:rsid w:val="000564C1"/>
    <w:rsid w:val="00061F3D"/>
    <w:rsid w:val="000627A1"/>
    <w:rsid w:val="000633B2"/>
    <w:rsid w:val="00063DEC"/>
    <w:rsid w:val="00063DF3"/>
    <w:rsid w:val="000646DD"/>
    <w:rsid w:val="0006474E"/>
    <w:rsid w:val="00064C2E"/>
    <w:rsid w:val="00064C79"/>
    <w:rsid w:val="00064CC7"/>
    <w:rsid w:val="00065AAF"/>
    <w:rsid w:val="000663E8"/>
    <w:rsid w:val="0006653F"/>
    <w:rsid w:val="000673BE"/>
    <w:rsid w:val="00067844"/>
    <w:rsid w:val="000678D5"/>
    <w:rsid w:val="0006796C"/>
    <w:rsid w:val="00073776"/>
    <w:rsid w:val="000738F2"/>
    <w:rsid w:val="00073CAB"/>
    <w:rsid w:val="00075E64"/>
    <w:rsid w:val="00076D61"/>
    <w:rsid w:val="000773E5"/>
    <w:rsid w:val="00077A90"/>
    <w:rsid w:val="00077C85"/>
    <w:rsid w:val="000820A9"/>
    <w:rsid w:val="000821D6"/>
    <w:rsid w:val="00083DAF"/>
    <w:rsid w:val="000844E8"/>
    <w:rsid w:val="00085A14"/>
    <w:rsid w:val="00085EDC"/>
    <w:rsid w:val="000869C8"/>
    <w:rsid w:val="000871F3"/>
    <w:rsid w:val="000879BF"/>
    <w:rsid w:val="00090B58"/>
    <w:rsid w:val="00091BEC"/>
    <w:rsid w:val="00091E02"/>
    <w:rsid w:val="00092303"/>
    <w:rsid w:val="0009255F"/>
    <w:rsid w:val="00092F59"/>
    <w:rsid w:val="00093340"/>
    <w:rsid w:val="00093E3E"/>
    <w:rsid w:val="00093EE6"/>
    <w:rsid w:val="000941EB"/>
    <w:rsid w:val="00094818"/>
    <w:rsid w:val="00095E93"/>
    <w:rsid w:val="0009683E"/>
    <w:rsid w:val="00097B09"/>
    <w:rsid w:val="000A01B7"/>
    <w:rsid w:val="000A204C"/>
    <w:rsid w:val="000A28DE"/>
    <w:rsid w:val="000A2D34"/>
    <w:rsid w:val="000A2D54"/>
    <w:rsid w:val="000A32F2"/>
    <w:rsid w:val="000A3E94"/>
    <w:rsid w:val="000A4112"/>
    <w:rsid w:val="000A631D"/>
    <w:rsid w:val="000A6734"/>
    <w:rsid w:val="000A72DE"/>
    <w:rsid w:val="000B19F2"/>
    <w:rsid w:val="000B1F8F"/>
    <w:rsid w:val="000B239C"/>
    <w:rsid w:val="000B245C"/>
    <w:rsid w:val="000B46CA"/>
    <w:rsid w:val="000B51B5"/>
    <w:rsid w:val="000B5C86"/>
    <w:rsid w:val="000B632E"/>
    <w:rsid w:val="000B65D9"/>
    <w:rsid w:val="000B6D58"/>
    <w:rsid w:val="000C09D9"/>
    <w:rsid w:val="000C0CE3"/>
    <w:rsid w:val="000C152F"/>
    <w:rsid w:val="000C1A55"/>
    <w:rsid w:val="000C1ACB"/>
    <w:rsid w:val="000C3094"/>
    <w:rsid w:val="000C3255"/>
    <w:rsid w:val="000C3BA2"/>
    <w:rsid w:val="000C5A9C"/>
    <w:rsid w:val="000C5EF7"/>
    <w:rsid w:val="000C6549"/>
    <w:rsid w:val="000C7AE7"/>
    <w:rsid w:val="000D0BAB"/>
    <w:rsid w:val="000D0E35"/>
    <w:rsid w:val="000D296E"/>
    <w:rsid w:val="000D358C"/>
    <w:rsid w:val="000D4849"/>
    <w:rsid w:val="000D4CDD"/>
    <w:rsid w:val="000D4E33"/>
    <w:rsid w:val="000D5EBD"/>
    <w:rsid w:val="000D7CA2"/>
    <w:rsid w:val="000E0047"/>
    <w:rsid w:val="000E0ABE"/>
    <w:rsid w:val="000E1639"/>
    <w:rsid w:val="000E165D"/>
    <w:rsid w:val="000E184B"/>
    <w:rsid w:val="000E1CB9"/>
    <w:rsid w:val="000E3BCF"/>
    <w:rsid w:val="000E4009"/>
    <w:rsid w:val="000E5E7C"/>
    <w:rsid w:val="000E6ABE"/>
    <w:rsid w:val="000E793D"/>
    <w:rsid w:val="000F096A"/>
    <w:rsid w:val="000F1889"/>
    <w:rsid w:val="000F1A4C"/>
    <w:rsid w:val="000F1AB6"/>
    <w:rsid w:val="000F2F1C"/>
    <w:rsid w:val="000F3163"/>
    <w:rsid w:val="000F320D"/>
    <w:rsid w:val="000F4125"/>
    <w:rsid w:val="000F4E1B"/>
    <w:rsid w:val="000F5FD1"/>
    <w:rsid w:val="000F60D2"/>
    <w:rsid w:val="000F6206"/>
    <w:rsid w:val="000F7001"/>
    <w:rsid w:val="00101444"/>
    <w:rsid w:val="00101BB7"/>
    <w:rsid w:val="00102036"/>
    <w:rsid w:val="00102460"/>
    <w:rsid w:val="00102851"/>
    <w:rsid w:val="00102C74"/>
    <w:rsid w:val="001058D5"/>
    <w:rsid w:val="0010670F"/>
    <w:rsid w:val="001067DF"/>
    <w:rsid w:val="00107B6E"/>
    <w:rsid w:val="0011018D"/>
    <w:rsid w:val="00110BB9"/>
    <w:rsid w:val="00112545"/>
    <w:rsid w:val="001126C0"/>
    <w:rsid w:val="0011341B"/>
    <w:rsid w:val="00113810"/>
    <w:rsid w:val="00116ED3"/>
    <w:rsid w:val="00117C28"/>
    <w:rsid w:val="00117D94"/>
    <w:rsid w:val="00120013"/>
    <w:rsid w:val="00120359"/>
    <w:rsid w:val="0012057B"/>
    <w:rsid w:val="0012063D"/>
    <w:rsid w:val="00120647"/>
    <w:rsid w:val="00121119"/>
    <w:rsid w:val="0012173C"/>
    <w:rsid w:val="00121CD0"/>
    <w:rsid w:val="00121F2A"/>
    <w:rsid w:val="00123F8E"/>
    <w:rsid w:val="00124599"/>
    <w:rsid w:val="00124B7D"/>
    <w:rsid w:val="0012543A"/>
    <w:rsid w:val="001255C4"/>
    <w:rsid w:val="00125CD0"/>
    <w:rsid w:val="001302C4"/>
    <w:rsid w:val="00130354"/>
    <w:rsid w:val="00130458"/>
    <w:rsid w:val="00130D1F"/>
    <w:rsid w:val="001314E8"/>
    <w:rsid w:val="001323F8"/>
    <w:rsid w:val="00132867"/>
    <w:rsid w:val="00132B86"/>
    <w:rsid w:val="00134C87"/>
    <w:rsid w:val="00134D32"/>
    <w:rsid w:val="00135BA1"/>
    <w:rsid w:val="001362DC"/>
    <w:rsid w:val="001363C8"/>
    <w:rsid w:val="001363D5"/>
    <w:rsid w:val="00136EB8"/>
    <w:rsid w:val="00137647"/>
    <w:rsid w:val="00137C5A"/>
    <w:rsid w:val="00140472"/>
    <w:rsid w:val="00142894"/>
    <w:rsid w:val="00144B76"/>
    <w:rsid w:val="00145229"/>
    <w:rsid w:val="00145C14"/>
    <w:rsid w:val="00145F95"/>
    <w:rsid w:val="001462ED"/>
    <w:rsid w:val="00146494"/>
    <w:rsid w:val="00146BC9"/>
    <w:rsid w:val="00147E60"/>
    <w:rsid w:val="00147FA9"/>
    <w:rsid w:val="001504F1"/>
    <w:rsid w:val="00150DEA"/>
    <w:rsid w:val="0015129C"/>
    <w:rsid w:val="00151521"/>
    <w:rsid w:val="00151BD2"/>
    <w:rsid w:val="00151FEB"/>
    <w:rsid w:val="00152221"/>
    <w:rsid w:val="00152F42"/>
    <w:rsid w:val="00152F83"/>
    <w:rsid w:val="00153031"/>
    <w:rsid w:val="0015387F"/>
    <w:rsid w:val="00153D04"/>
    <w:rsid w:val="00153F75"/>
    <w:rsid w:val="00153F9F"/>
    <w:rsid w:val="001544EF"/>
    <w:rsid w:val="00154AB9"/>
    <w:rsid w:val="00155806"/>
    <w:rsid w:val="001561EC"/>
    <w:rsid w:val="00157D65"/>
    <w:rsid w:val="00160A9D"/>
    <w:rsid w:val="00161734"/>
    <w:rsid w:val="00162734"/>
    <w:rsid w:val="00162AD5"/>
    <w:rsid w:val="00163150"/>
    <w:rsid w:val="0016341D"/>
    <w:rsid w:val="00163D15"/>
    <w:rsid w:val="00164113"/>
    <w:rsid w:val="00164903"/>
    <w:rsid w:val="001671E1"/>
    <w:rsid w:val="001672CF"/>
    <w:rsid w:val="00170B62"/>
    <w:rsid w:val="00172C7B"/>
    <w:rsid w:val="00174753"/>
    <w:rsid w:val="001762E9"/>
    <w:rsid w:val="00177FCA"/>
    <w:rsid w:val="0018291C"/>
    <w:rsid w:val="00182FA4"/>
    <w:rsid w:val="001836D1"/>
    <w:rsid w:val="0018561F"/>
    <w:rsid w:val="001859F9"/>
    <w:rsid w:val="00185CB3"/>
    <w:rsid w:val="00186EDC"/>
    <w:rsid w:val="00186FD7"/>
    <w:rsid w:val="00187154"/>
    <w:rsid w:val="001875B8"/>
    <w:rsid w:val="00190964"/>
    <w:rsid w:val="00190E2B"/>
    <w:rsid w:val="00191034"/>
    <w:rsid w:val="0019299A"/>
    <w:rsid w:val="00192CB3"/>
    <w:rsid w:val="00192F13"/>
    <w:rsid w:val="001940E3"/>
    <w:rsid w:val="00196011"/>
    <w:rsid w:val="00196BFA"/>
    <w:rsid w:val="001971C3"/>
    <w:rsid w:val="001A067D"/>
    <w:rsid w:val="001A0D9E"/>
    <w:rsid w:val="001A20D9"/>
    <w:rsid w:val="001A2AC2"/>
    <w:rsid w:val="001A3C86"/>
    <w:rsid w:val="001A416C"/>
    <w:rsid w:val="001A5421"/>
    <w:rsid w:val="001A565D"/>
    <w:rsid w:val="001A569E"/>
    <w:rsid w:val="001A5D9A"/>
    <w:rsid w:val="001A7DC6"/>
    <w:rsid w:val="001B478D"/>
    <w:rsid w:val="001B5D44"/>
    <w:rsid w:val="001B600B"/>
    <w:rsid w:val="001B73AC"/>
    <w:rsid w:val="001C354A"/>
    <w:rsid w:val="001C406A"/>
    <w:rsid w:val="001C520F"/>
    <w:rsid w:val="001C73B8"/>
    <w:rsid w:val="001D068B"/>
    <w:rsid w:val="001D1C10"/>
    <w:rsid w:val="001D2220"/>
    <w:rsid w:val="001D2C21"/>
    <w:rsid w:val="001D39F6"/>
    <w:rsid w:val="001D3EF5"/>
    <w:rsid w:val="001D3F9F"/>
    <w:rsid w:val="001D4260"/>
    <w:rsid w:val="001D4E17"/>
    <w:rsid w:val="001D5EEE"/>
    <w:rsid w:val="001D5F31"/>
    <w:rsid w:val="001D65F5"/>
    <w:rsid w:val="001D6666"/>
    <w:rsid w:val="001D6DA5"/>
    <w:rsid w:val="001E0DD9"/>
    <w:rsid w:val="001E1151"/>
    <w:rsid w:val="001E19D5"/>
    <w:rsid w:val="001E1A3B"/>
    <w:rsid w:val="001E27A7"/>
    <w:rsid w:val="001E2EA8"/>
    <w:rsid w:val="001E2F75"/>
    <w:rsid w:val="001E34E5"/>
    <w:rsid w:val="001E4E6E"/>
    <w:rsid w:val="001E61BB"/>
    <w:rsid w:val="001E6CA7"/>
    <w:rsid w:val="001E7390"/>
    <w:rsid w:val="001E754A"/>
    <w:rsid w:val="001E7F17"/>
    <w:rsid w:val="001F0D28"/>
    <w:rsid w:val="001F1998"/>
    <w:rsid w:val="001F1A03"/>
    <w:rsid w:val="001F1F1E"/>
    <w:rsid w:val="001F1FE7"/>
    <w:rsid w:val="001F2499"/>
    <w:rsid w:val="001F2D1D"/>
    <w:rsid w:val="001F3E07"/>
    <w:rsid w:val="001F656B"/>
    <w:rsid w:val="001F73BB"/>
    <w:rsid w:val="001F79A7"/>
    <w:rsid w:val="002005C8"/>
    <w:rsid w:val="00200E24"/>
    <w:rsid w:val="00202829"/>
    <w:rsid w:val="00202ED0"/>
    <w:rsid w:val="00202EEF"/>
    <w:rsid w:val="00202FDB"/>
    <w:rsid w:val="0020359D"/>
    <w:rsid w:val="00204745"/>
    <w:rsid w:val="00205069"/>
    <w:rsid w:val="0020570A"/>
    <w:rsid w:val="002071AA"/>
    <w:rsid w:val="002071E4"/>
    <w:rsid w:val="0020740D"/>
    <w:rsid w:val="00207562"/>
    <w:rsid w:val="0021146B"/>
    <w:rsid w:val="002123B2"/>
    <w:rsid w:val="00212ADF"/>
    <w:rsid w:val="00213244"/>
    <w:rsid w:val="00214233"/>
    <w:rsid w:val="00215188"/>
    <w:rsid w:val="0021647D"/>
    <w:rsid w:val="00216F7E"/>
    <w:rsid w:val="0021770C"/>
    <w:rsid w:val="002206AA"/>
    <w:rsid w:val="00220769"/>
    <w:rsid w:val="00220D97"/>
    <w:rsid w:val="00221A2B"/>
    <w:rsid w:val="00221F1E"/>
    <w:rsid w:val="00221FA1"/>
    <w:rsid w:val="0022244E"/>
    <w:rsid w:val="0022382F"/>
    <w:rsid w:val="00223996"/>
    <w:rsid w:val="00223CAC"/>
    <w:rsid w:val="00223DFD"/>
    <w:rsid w:val="002240A6"/>
    <w:rsid w:val="00225C88"/>
    <w:rsid w:val="00225D9F"/>
    <w:rsid w:val="00225EA1"/>
    <w:rsid w:val="00226E63"/>
    <w:rsid w:val="00226F12"/>
    <w:rsid w:val="00230B06"/>
    <w:rsid w:val="002310A1"/>
    <w:rsid w:val="00233883"/>
    <w:rsid w:val="00233C55"/>
    <w:rsid w:val="002340ED"/>
    <w:rsid w:val="002349F7"/>
    <w:rsid w:val="002350E2"/>
    <w:rsid w:val="0023671A"/>
    <w:rsid w:val="00237279"/>
    <w:rsid w:val="002372BF"/>
    <w:rsid w:val="0023744B"/>
    <w:rsid w:val="00240DD9"/>
    <w:rsid w:val="002410B1"/>
    <w:rsid w:val="00241274"/>
    <w:rsid w:val="00246877"/>
    <w:rsid w:val="00246F83"/>
    <w:rsid w:val="00247A3B"/>
    <w:rsid w:val="0025003B"/>
    <w:rsid w:val="002501AA"/>
    <w:rsid w:val="00251D20"/>
    <w:rsid w:val="00251DFC"/>
    <w:rsid w:val="00252272"/>
    <w:rsid w:val="00252496"/>
    <w:rsid w:val="0025278F"/>
    <w:rsid w:val="00253479"/>
    <w:rsid w:val="00254737"/>
    <w:rsid w:val="002554C7"/>
    <w:rsid w:val="002555AD"/>
    <w:rsid w:val="00257229"/>
    <w:rsid w:val="00262E98"/>
    <w:rsid w:val="00263E58"/>
    <w:rsid w:val="00264127"/>
    <w:rsid w:val="00264B43"/>
    <w:rsid w:val="00264E4F"/>
    <w:rsid w:val="00265BFD"/>
    <w:rsid w:val="002660E1"/>
    <w:rsid w:val="00270501"/>
    <w:rsid w:val="00273209"/>
    <w:rsid w:val="00273B82"/>
    <w:rsid w:val="00275712"/>
    <w:rsid w:val="00275C2A"/>
    <w:rsid w:val="0027623B"/>
    <w:rsid w:val="00277F38"/>
    <w:rsid w:val="00277F73"/>
    <w:rsid w:val="002803F8"/>
    <w:rsid w:val="002805F7"/>
    <w:rsid w:val="00280905"/>
    <w:rsid w:val="002827FB"/>
    <w:rsid w:val="00282990"/>
    <w:rsid w:val="00282C85"/>
    <w:rsid w:val="002834B2"/>
    <w:rsid w:val="002850E1"/>
    <w:rsid w:val="00285311"/>
    <w:rsid w:val="002858A0"/>
    <w:rsid w:val="00286774"/>
    <w:rsid w:val="0028707D"/>
    <w:rsid w:val="00287356"/>
    <w:rsid w:val="002879AC"/>
    <w:rsid w:val="00287A48"/>
    <w:rsid w:val="0029025D"/>
    <w:rsid w:val="00290322"/>
    <w:rsid w:val="002909E2"/>
    <w:rsid w:val="00292677"/>
    <w:rsid w:val="00292DB0"/>
    <w:rsid w:val="00293CDD"/>
    <w:rsid w:val="00294060"/>
    <w:rsid w:val="002940A4"/>
    <w:rsid w:val="0029413A"/>
    <w:rsid w:val="00295173"/>
    <w:rsid w:val="0029556C"/>
    <w:rsid w:val="0029568A"/>
    <w:rsid w:val="00295E65"/>
    <w:rsid w:val="00295EB1"/>
    <w:rsid w:val="0029704F"/>
    <w:rsid w:val="002978C9"/>
    <w:rsid w:val="00297A04"/>
    <w:rsid w:val="002A0508"/>
    <w:rsid w:val="002A118F"/>
    <w:rsid w:val="002A18A1"/>
    <w:rsid w:val="002A2B7B"/>
    <w:rsid w:val="002A2D0F"/>
    <w:rsid w:val="002A3319"/>
    <w:rsid w:val="002A402D"/>
    <w:rsid w:val="002A460D"/>
    <w:rsid w:val="002A6B45"/>
    <w:rsid w:val="002A6BA8"/>
    <w:rsid w:val="002A71C9"/>
    <w:rsid w:val="002B29E6"/>
    <w:rsid w:val="002B390E"/>
    <w:rsid w:val="002B4BB1"/>
    <w:rsid w:val="002B5006"/>
    <w:rsid w:val="002B5CE6"/>
    <w:rsid w:val="002B5F6B"/>
    <w:rsid w:val="002B6787"/>
    <w:rsid w:val="002C13A8"/>
    <w:rsid w:val="002C214D"/>
    <w:rsid w:val="002C2577"/>
    <w:rsid w:val="002C25E4"/>
    <w:rsid w:val="002C2A18"/>
    <w:rsid w:val="002C45DE"/>
    <w:rsid w:val="002C4B15"/>
    <w:rsid w:val="002C4FBC"/>
    <w:rsid w:val="002C60AF"/>
    <w:rsid w:val="002C6978"/>
    <w:rsid w:val="002C6AF4"/>
    <w:rsid w:val="002C6E5E"/>
    <w:rsid w:val="002C737C"/>
    <w:rsid w:val="002C7855"/>
    <w:rsid w:val="002D0421"/>
    <w:rsid w:val="002D13C1"/>
    <w:rsid w:val="002D1641"/>
    <w:rsid w:val="002D1D7A"/>
    <w:rsid w:val="002D1D92"/>
    <w:rsid w:val="002D2A94"/>
    <w:rsid w:val="002D3D89"/>
    <w:rsid w:val="002D4358"/>
    <w:rsid w:val="002D4939"/>
    <w:rsid w:val="002D54A1"/>
    <w:rsid w:val="002D63BB"/>
    <w:rsid w:val="002D66B8"/>
    <w:rsid w:val="002D67F8"/>
    <w:rsid w:val="002D74E9"/>
    <w:rsid w:val="002D7A2A"/>
    <w:rsid w:val="002E29AE"/>
    <w:rsid w:val="002E29E6"/>
    <w:rsid w:val="002E2B9E"/>
    <w:rsid w:val="002E3632"/>
    <w:rsid w:val="002E4772"/>
    <w:rsid w:val="002E4B44"/>
    <w:rsid w:val="002E5280"/>
    <w:rsid w:val="002E52D1"/>
    <w:rsid w:val="002E59A5"/>
    <w:rsid w:val="002E714C"/>
    <w:rsid w:val="002F07AC"/>
    <w:rsid w:val="002F1390"/>
    <w:rsid w:val="002F2793"/>
    <w:rsid w:val="002F2AAC"/>
    <w:rsid w:val="002F37BE"/>
    <w:rsid w:val="002F40A4"/>
    <w:rsid w:val="002F44CC"/>
    <w:rsid w:val="002F4661"/>
    <w:rsid w:val="002F4E8C"/>
    <w:rsid w:val="002F52E0"/>
    <w:rsid w:val="002F5534"/>
    <w:rsid w:val="002F5629"/>
    <w:rsid w:val="002F56B1"/>
    <w:rsid w:val="002F66BC"/>
    <w:rsid w:val="002F72C7"/>
    <w:rsid w:val="00301358"/>
    <w:rsid w:val="00303357"/>
    <w:rsid w:val="003050CB"/>
    <w:rsid w:val="00305AEB"/>
    <w:rsid w:val="0030788A"/>
    <w:rsid w:val="00307AF9"/>
    <w:rsid w:val="00307BAD"/>
    <w:rsid w:val="0031022C"/>
    <w:rsid w:val="00310DD2"/>
    <w:rsid w:val="00310FAE"/>
    <w:rsid w:val="003112A7"/>
    <w:rsid w:val="00311CE3"/>
    <w:rsid w:val="003120C1"/>
    <w:rsid w:val="003146C4"/>
    <w:rsid w:val="00314FF0"/>
    <w:rsid w:val="0031542F"/>
    <w:rsid w:val="0031577C"/>
    <w:rsid w:val="00316BFB"/>
    <w:rsid w:val="0031700C"/>
    <w:rsid w:val="00317566"/>
    <w:rsid w:val="00320A65"/>
    <w:rsid w:val="00322EBF"/>
    <w:rsid w:val="00322F19"/>
    <w:rsid w:val="00323E4F"/>
    <w:rsid w:val="003241F8"/>
    <w:rsid w:val="003244A2"/>
    <w:rsid w:val="00324853"/>
    <w:rsid w:val="00324866"/>
    <w:rsid w:val="0032519A"/>
    <w:rsid w:val="00325718"/>
    <w:rsid w:val="00326118"/>
    <w:rsid w:val="003301CE"/>
    <w:rsid w:val="00330E20"/>
    <w:rsid w:val="00330FD7"/>
    <w:rsid w:val="00332D97"/>
    <w:rsid w:val="003331F5"/>
    <w:rsid w:val="003336E1"/>
    <w:rsid w:val="00333E7E"/>
    <w:rsid w:val="003355F1"/>
    <w:rsid w:val="00335FC9"/>
    <w:rsid w:val="00340574"/>
    <w:rsid w:val="00341F72"/>
    <w:rsid w:val="00342415"/>
    <w:rsid w:val="00342716"/>
    <w:rsid w:val="00343D8F"/>
    <w:rsid w:val="0034507E"/>
    <w:rsid w:val="00345897"/>
    <w:rsid w:val="00345CA3"/>
    <w:rsid w:val="00346B3F"/>
    <w:rsid w:val="0034714A"/>
    <w:rsid w:val="00347FAF"/>
    <w:rsid w:val="00350230"/>
    <w:rsid w:val="00350882"/>
    <w:rsid w:val="00351201"/>
    <w:rsid w:val="00352DC9"/>
    <w:rsid w:val="00353E1D"/>
    <w:rsid w:val="003546CB"/>
    <w:rsid w:val="00355CDE"/>
    <w:rsid w:val="00360787"/>
    <w:rsid w:val="003618DA"/>
    <w:rsid w:val="003623F6"/>
    <w:rsid w:val="00362BF4"/>
    <w:rsid w:val="00362D1C"/>
    <w:rsid w:val="00362EEA"/>
    <w:rsid w:val="00363D7E"/>
    <w:rsid w:val="00363E0C"/>
    <w:rsid w:val="00366010"/>
    <w:rsid w:val="0036621E"/>
    <w:rsid w:val="00366716"/>
    <w:rsid w:val="00367F3B"/>
    <w:rsid w:val="00370266"/>
    <w:rsid w:val="00372CDA"/>
    <w:rsid w:val="003747F6"/>
    <w:rsid w:val="00374874"/>
    <w:rsid w:val="0037496B"/>
    <w:rsid w:val="003772F0"/>
    <w:rsid w:val="00377676"/>
    <w:rsid w:val="00377A28"/>
    <w:rsid w:val="0038045F"/>
    <w:rsid w:val="00380F06"/>
    <w:rsid w:val="00382341"/>
    <w:rsid w:val="00382AD2"/>
    <w:rsid w:val="0038303C"/>
    <w:rsid w:val="0038383D"/>
    <w:rsid w:val="00383878"/>
    <w:rsid w:val="00384A36"/>
    <w:rsid w:val="00384E9A"/>
    <w:rsid w:val="0038670A"/>
    <w:rsid w:val="003867C2"/>
    <w:rsid w:val="003869CB"/>
    <w:rsid w:val="00386A6A"/>
    <w:rsid w:val="0038703E"/>
    <w:rsid w:val="0039014B"/>
    <w:rsid w:val="003901E4"/>
    <w:rsid w:val="00393663"/>
    <w:rsid w:val="00393805"/>
    <w:rsid w:val="0039413F"/>
    <w:rsid w:val="003951A5"/>
    <w:rsid w:val="003955A8"/>
    <w:rsid w:val="00395963"/>
    <w:rsid w:val="00395C40"/>
    <w:rsid w:val="0039659C"/>
    <w:rsid w:val="003977ED"/>
    <w:rsid w:val="003A124A"/>
    <w:rsid w:val="003A1F63"/>
    <w:rsid w:val="003A47AD"/>
    <w:rsid w:val="003A488D"/>
    <w:rsid w:val="003A4F18"/>
    <w:rsid w:val="003A53BB"/>
    <w:rsid w:val="003A7336"/>
    <w:rsid w:val="003A7F29"/>
    <w:rsid w:val="003B0340"/>
    <w:rsid w:val="003B09DF"/>
    <w:rsid w:val="003B0CD6"/>
    <w:rsid w:val="003B1EBB"/>
    <w:rsid w:val="003B35F0"/>
    <w:rsid w:val="003B36E7"/>
    <w:rsid w:val="003B413D"/>
    <w:rsid w:val="003B48B0"/>
    <w:rsid w:val="003B4F73"/>
    <w:rsid w:val="003B54DA"/>
    <w:rsid w:val="003B5761"/>
    <w:rsid w:val="003B5A25"/>
    <w:rsid w:val="003B6F1D"/>
    <w:rsid w:val="003C06AD"/>
    <w:rsid w:val="003C0DB7"/>
    <w:rsid w:val="003C1610"/>
    <w:rsid w:val="003C2837"/>
    <w:rsid w:val="003C326E"/>
    <w:rsid w:val="003C504F"/>
    <w:rsid w:val="003C5A06"/>
    <w:rsid w:val="003C6788"/>
    <w:rsid w:val="003C714F"/>
    <w:rsid w:val="003C7743"/>
    <w:rsid w:val="003D1BE9"/>
    <w:rsid w:val="003D33A1"/>
    <w:rsid w:val="003D450E"/>
    <w:rsid w:val="003D58A4"/>
    <w:rsid w:val="003E0CEC"/>
    <w:rsid w:val="003E168F"/>
    <w:rsid w:val="003E34FD"/>
    <w:rsid w:val="003E4503"/>
    <w:rsid w:val="003E517C"/>
    <w:rsid w:val="003E6A05"/>
    <w:rsid w:val="003F1490"/>
    <w:rsid w:val="003F1718"/>
    <w:rsid w:val="003F2547"/>
    <w:rsid w:val="003F35EB"/>
    <w:rsid w:val="003F3B27"/>
    <w:rsid w:val="003F480B"/>
    <w:rsid w:val="003F4AEF"/>
    <w:rsid w:val="003F60FC"/>
    <w:rsid w:val="003F6396"/>
    <w:rsid w:val="00400AB7"/>
    <w:rsid w:val="00401952"/>
    <w:rsid w:val="00401C48"/>
    <w:rsid w:val="0040205B"/>
    <w:rsid w:val="00404824"/>
    <w:rsid w:val="00404F29"/>
    <w:rsid w:val="0040611A"/>
    <w:rsid w:val="00410C1A"/>
    <w:rsid w:val="00410D39"/>
    <w:rsid w:val="00412191"/>
    <w:rsid w:val="00413CAE"/>
    <w:rsid w:val="00413E31"/>
    <w:rsid w:val="00414AB4"/>
    <w:rsid w:val="00414E08"/>
    <w:rsid w:val="00415B2D"/>
    <w:rsid w:val="00416E06"/>
    <w:rsid w:val="0041799C"/>
    <w:rsid w:val="00420321"/>
    <w:rsid w:val="0042069C"/>
    <w:rsid w:val="004215A0"/>
    <w:rsid w:val="004246DB"/>
    <w:rsid w:val="00426501"/>
    <w:rsid w:val="0042674A"/>
    <w:rsid w:val="004272C5"/>
    <w:rsid w:val="00427386"/>
    <w:rsid w:val="0043039B"/>
    <w:rsid w:val="00430B33"/>
    <w:rsid w:val="00431468"/>
    <w:rsid w:val="0043146E"/>
    <w:rsid w:val="00432183"/>
    <w:rsid w:val="004323E4"/>
    <w:rsid w:val="00432914"/>
    <w:rsid w:val="00433474"/>
    <w:rsid w:val="004337BA"/>
    <w:rsid w:val="00436E74"/>
    <w:rsid w:val="00437DD0"/>
    <w:rsid w:val="00440584"/>
    <w:rsid w:val="00440FEB"/>
    <w:rsid w:val="0044184E"/>
    <w:rsid w:val="0044213E"/>
    <w:rsid w:val="00442710"/>
    <w:rsid w:val="00442F81"/>
    <w:rsid w:val="00443FD2"/>
    <w:rsid w:val="00444476"/>
    <w:rsid w:val="004454BD"/>
    <w:rsid w:val="00445D6B"/>
    <w:rsid w:val="00445E4F"/>
    <w:rsid w:val="00446231"/>
    <w:rsid w:val="00446932"/>
    <w:rsid w:val="00450121"/>
    <w:rsid w:val="00450AFF"/>
    <w:rsid w:val="004522C9"/>
    <w:rsid w:val="004530E6"/>
    <w:rsid w:val="0045394D"/>
    <w:rsid w:val="00454D29"/>
    <w:rsid w:val="00456EFF"/>
    <w:rsid w:val="00457746"/>
    <w:rsid w:val="00457C2B"/>
    <w:rsid w:val="0046064E"/>
    <w:rsid w:val="00460A5B"/>
    <w:rsid w:val="0046106A"/>
    <w:rsid w:val="00461519"/>
    <w:rsid w:val="004625C9"/>
    <w:rsid w:val="0046285B"/>
    <w:rsid w:val="004628CC"/>
    <w:rsid w:val="004630EE"/>
    <w:rsid w:val="00463588"/>
    <w:rsid w:val="00464811"/>
    <w:rsid w:val="00465C6F"/>
    <w:rsid w:val="004661FF"/>
    <w:rsid w:val="004668F3"/>
    <w:rsid w:val="00466EBF"/>
    <w:rsid w:val="00470149"/>
    <w:rsid w:val="004706BA"/>
    <w:rsid w:val="00470B3B"/>
    <w:rsid w:val="00470BAA"/>
    <w:rsid w:val="00471066"/>
    <w:rsid w:val="00471D49"/>
    <w:rsid w:val="00473303"/>
    <w:rsid w:val="004736A2"/>
    <w:rsid w:val="0047522C"/>
    <w:rsid w:val="0047559A"/>
    <w:rsid w:val="004760B3"/>
    <w:rsid w:val="00480629"/>
    <w:rsid w:val="00481C2A"/>
    <w:rsid w:val="00482B1A"/>
    <w:rsid w:val="00484A99"/>
    <w:rsid w:val="004864C3"/>
    <w:rsid w:val="00487CE0"/>
    <w:rsid w:val="00490A83"/>
    <w:rsid w:val="00491A15"/>
    <w:rsid w:val="00491C1B"/>
    <w:rsid w:val="004925F6"/>
    <w:rsid w:val="0049370D"/>
    <w:rsid w:val="00493A5D"/>
    <w:rsid w:val="00493F0F"/>
    <w:rsid w:val="004953C0"/>
    <w:rsid w:val="004954F9"/>
    <w:rsid w:val="00495857"/>
    <w:rsid w:val="00497AF7"/>
    <w:rsid w:val="004A03A8"/>
    <w:rsid w:val="004A1685"/>
    <w:rsid w:val="004A2D16"/>
    <w:rsid w:val="004A2E1A"/>
    <w:rsid w:val="004A45FA"/>
    <w:rsid w:val="004A48C2"/>
    <w:rsid w:val="004A55FF"/>
    <w:rsid w:val="004A5D23"/>
    <w:rsid w:val="004A62A1"/>
    <w:rsid w:val="004A6386"/>
    <w:rsid w:val="004A654F"/>
    <w:rsid w:val="004A6A32"/>
    <w:rsid w:val="004A6EC7"/>
    <w:rsid w:val="004A7A30"/>
    <w:rsid w:val="004B0B17"/>
    <w:rsid w:val="004B0B53"/>
    <w:rsid w:val="004B222C"/>
    <w:rsid w:val="004B250D"/>
    <w:rsid w:val="004B2D40"/>
    <w:rsid w:val="004B4546"/>
    <w:rsid w:val="004B4D31"/>
    <w:rsid w:val="004B5208"/>
    <w:rsid w:val="004B5477"/>
    <w:rsid w:val="004B5650"/>
    <w:rsid w:val="004B64C2"/>
    <w:rsid w:val="004B6B0A"/>
    <w:rsid w:val="004B76F1"/>
    <w:rsid w:val="004B781D"/>
    <w:rsid w:val="004B7904"/>
    <w:rsid w:val="004C0FDD"/>
    <w:rsid w:val="004C1579"/>
    <w:rsid w:val="004C1AC8"/>
    <w:rsid w:val="004C250E"/>
    <w:rsid w:val="004C27ED"/>
    <w:rsid w:val="004C2F59"/>
    <w:rsid w:val="004C34DA"/>
    <w:rsid w:val="004C3764"/>
    <w:rsid w:val="004C3AA2"/>
    <w:rsid w:val="004C3AF0"/>
    <w:rsid w:val="004C3BD6"/>
    <w:rsid w:val="004C4827"/>
    <w:rsid w:val="004C66B4"/>
    <w:rsid w:val="004C6C80"/>
    <w:rsid w:val="004C76B0"/>
    <w:rsid w:val="004C7AD4"/>
    <w:rsid w:val="004D00CB"/>
    <w:rsid w:val="004D021D"/>
    <w:rsid w:val="004D0EDD"/>
    <w:rsid w:val="004D155E"/>
    <w:rsid w:val="004D23B1"/>
    <w:rsid w:val="004D3199"/>
    <w:rsid w:val="004D3245"/>
    <w:rsid w:val="004D49AB"/>
    <w:rsid w:val="004D4D25"/>
    <w:rsid w:val="004D6343"/>
    <w:rsid w:val="004D69B8"/>
    <w:rsid w:val="004D792D"/>
    <w:rsid w:val="004E0D1C"/>
    <w:rsid w:val="004E22D6"/>
    <w:rsid w:val="004E2A08"/>
    <w:rsid w:val="004E39D0"/>
    <w:rsid w:val="004E3DDB"/>
    <w:rsid w:val="004E552E"/>
    <w:rsid w:val="004E589F"/>
    <w:rsid w:val="004E5C39"/>
    <w:rsid w:val="004E6B3C"/>
    <w:rsid w:val="004E6B73"/>
    <w:rsid w:val="004E70A5"/>
    <w:rsid w:val="004F0387"/>
    <w:rsid w:val="004F0A7C"/>
    <w:rsid w:val="004F2F48"/>
    <w:rsid w:val="004F34A4"/>
    <w:rsid w:val="004F3CAA"/>
    <w:rsid w:val="004F3E0F"/>
    <w:rsid w:val="004F49C6"/>
    <w:rsid w:val="004F5918"/>
    <w:rsid w:val="004F6177"/>
    <w:rsid w:val="004F6C0C"/>
    <w:rsid w:val="004F7DEC"/>
    <w:rsid w:val="004F7E0A"/>
    <w:rsid w:val="004F7E9B"/>
    <w:rsid w:val="0050138B"/>
    <w:rsid w:val="00501860"/>
    <w:rsid w:val="00501997"/>
    <w:rsid w:val="005024D5"/>
    <w:rsid w:val="005025E3"/>
    <w:rsid w:val="0050266F"/>
    <w:rsid w:val="00502EED"/>
    <w:rsid w:val="00503377"/>
    <w:rsid w:val="00505403"/>
    <w:rsid w:val="0050696A"/>
    <w:rsid w:val="00506E3A"/>
    <w:rsid w:val="005070E0"/>
    <w:rsid w:val="0050773D"/>
    <w:rsid w:val="005079AC"/>
    <w:rsid w:val="00507F70"/>
    <w:rsid w:val="00510018"/>
    <w:rsid w:val="005111B7"/>
    <w:rsid w:val="0051207A"/>
    <w:rsid w:val="0051217C"/>
    <w:rsid w:val="00512596"/>
    <w:rsid w:val="00514673"/>
    <w:rsid w:val="005163F3"/>
    <w:rsid w:val="0051681A"/>
    <w:rsid w:val="00516E8D"/>
    <w:rsid w:val="0051721B"/>
    <w:rsid w:val="00517AB9"/>
    <w:rsid w:val="00520CBE"/>
    <w:rsid w:val="00521ECB"/>
    <w:rsid w:val="0052302D"/>
    <w:rsid w:val="005234F6"/>
    <w:rsid w:val="005237F8"/>
    <w:rsid w:val="005240E0"/>
    <w:rsid w:val="00525A5E"/>
    <w:rsid w:val="00525D29"/>
    <w:rsid w:val="00525E69"/>
    <w:rsid w:val="00526767"/>
    <w:rsid w:val="00530B4F"/>
    <w:rsid w:val="00530D1A"/>
    <w:rsid w:val="005312DE"/>
    <w:rsid w:val="0053217D"/>
    <w:rsid w:val="0053284C"/>
    <w:rsid w:val="00532A7C"/>
    <w:rsid w:val="005330AA"/>
    <w:rsid w:val="00533E66"/>
    <w:rsid w:val="005360CB"/>
    <w:rsid w:val="00536960"/>
    <w:rsid w:val="0053764C"/>
    <w:rsid w:val="00540D1F"/>
    <w:rsid w:val="00541203"/>
    <w:rsid w:val="00541A2D"/>
    <w:rsid w:val="00542E19"/>
    <w:rsid w:val="0054425E"/>
    <w:rsid w:val="00546FB1"/>
    <w:rsid w:val="00550B59"/>
    <w:rsid w:val="00550BB7"/>
    <w:rsid w:val="00550FD0"/>
    <w:rsid w:val="00553F14"/>
    <w:rsid w:val="00555EDE"/>
    <w:rsid w:val="005561EE"/>
    <w:rsid w:val="00560A35"/>
    <w:rsid w:val="00560D45"/>
    <w:rsid w:val="00561B60"/>
    <w:rsid w:val="00561F96"/>
    <w:rsid w:val="00562B85"/>
    <w:rsid w:val="00562C62"/>
    <w:rsid w:val="005632BA"/>
    <w:rsid w:val="0056343A"/>
    <w:rsid w:val="00564C49"/>
    <w:rsid w:val="00565087"/>
    <w:rsid w:val="005655DC"/>
    <w:rsid w:val="00565CB1"/>
    <w:rsid w:val="00566881"/>
    <w:rsid w:val="00567830"/>
    <w:rsid w:val="005706D6"/>
    <w:rsid w:val="005707CC"/>
    <w:rsid w:val="0057186C"/>
    <w:rsid w:val="00572858"/>
    <w:rsid w:val="00573560"/>
    <w:rsid w:val="0057473D"/>
    <w:rsid w:val="00574B93"/>
    <w:rsid w:val="005751A7"/>
    <w:rsid w:val="00575FA4"/>
    <w:rsid w:val="00576601"/>
    <w:rsid w:val="00580939"/>
    <w:rsid w:val="005809B4"/>
    <w:rsid w:val="00581AEE"/>
    <w:rsid w:val="005823CE"/>
    <w:rsid w:val="0058369A"/>
    <w:rsid w:val="00584195"/>
    <w:rsid w:val="00584EED"/>
    <w:rsid w:val="00585099"/>
    <w:rsid w:val="005877FD"/>
    <w:rsid w:val="00587D19"/>
    <w:rsid w:val="00590094"/>
    <w:rsid w:val="00590CB7"/>
    <w:rsid w:val="00591488"/>
    <w:rsid w:val="00591560"/>
    <w:rsid w:val="00592550"/>
    <w:rsid w:val="00593B8C"/>
    <w:rsid w:val="00595356"/>
    <w:rsid w:val="00595616"/>
    <w:rsid w:val="00596CE5"/>
    <w:rsid w:val="005970A1"/>
    <w:rsid w:val="005A0247"/>
    <w:rsid w:val="005A0337"/>
    <w:rsid w:val="005A0575"/>
    <w:rsid w:val="005A22A3"/>
    <w:rsid w:val="005A2380"/>
    <w:rsid w:val="005A2EBF"/>
    <w:rsid w:val="005A633E"/>
    <w:rsid w:val="005A6435"/>
    <w:rsid w:val="005A6C31"/>
    <w:rsid w:val="005A70CC"/>
    <w:rsid w:val="005A73EC"/>
    <w:rsid w:val="005A7E38"/>
    <w:rsid w:val="005B0664"/>
    <w:rsid w:val="005B1CFA"/>
    <w:rsid w:val="005B4C8A"/>
    <w:rsid w:val="005B62D2"/>
    <w:rsid w:val="005B6F37"/>
    <w:rsid w:val="005B78ED"/>
    <w:rsid w:val="005C0084"/>
    <w:rsid w:val="005C016B"/>
    <w:rsid w:val="005C0CAF"/>
    <w:rsid w:val="005C1F02"/>
    <w:rsid w:val="005C29BB"/>
    <w:rsid w:val="005C3D77"/>
    <w:rsid w:val="005C4B35"/>
    <w:rsid w:val="005C704C"/>
    <w:rsid w:val="005C758D"/>
    <w:rsid w:val="005D0A13"/>
    <w:rsid w:val="005D1797"/>
    <w:rsid w:val="005D3030"/>
    <w:rsid w:val="005D3585"/>
    <w:rsid w:val="005D3A41"/>
    <w:rsid w:val="005D4042"/>
    <w:rsid w:val="005D4855"/>
    <w:rsid w:val="005D5845"/>
    <w:rsid w:val="005D6004"/>
    <w:rsid w:val="005D6329"/>
    <w:rsid w:val="005D72EF"/>
    <w:rsid w:val="005D754A"/>
    <w:rsid w:val="005D76CA"/>
    <w:rsid w:val="005E08DA"/>
    <w:rsid w:val="005E099A"/>
    <w:rsid w:val="005E2527"/>
    <w:rsid w:val="005E2D75"/>
    <w:rsid w:val="005E2DB6"/>
    <w:rsid w:val="005E4D8F"/>
    <w:rsid w:val="005E6543"/>
    <w:rsid w:val="005E7436"/>
    <w:rsid w:val="005E7EDA"/>
    <w:rsid w:val="005F1003"/>
    <w:rsid w:val="005F1271"/>
    <w:rsid w:val="005F1ABB"/>
    <w:rsid w:val="005F1F00"/>
    <w:rsid w:val="005F299B"/>
    <w:rsid w:val="005F2F57"/>
    <w:rsid w:val="005F309A"/>
    <w:rsid w:val="005F316D"/>
    <w:rsid w:val="005F31A4"/>
    <w:rsid w:val="005F3A89"/>
    <w:rsid w:val="005F3E39"/>
    <w:rsid w:val="005F475D"/>
    <w:rsid w:val="005F5165"/>
    <w:rsid w:val="005F53E9"/>
    <w:rsid w:val="005F5BCE"/>
    <w:rsid w:val="005F5E2D"/>
    <w:rsid w:val="005F69AB"/>
    <w:rsid w:val="005F6DBA"/>
    <w:rsid w:val="005F736E"/>
    <w:rsid w:val="00600B32"/>
    <w:rsid w:val="00600D61"/>
    <w:rsid w:val="00601B5F"/>
    <w:rsid w:val="00602783"/>
    <w:rsid w:val="006031C7"/>
    <w:rsid w:val="00604E53"/>
    <w:rsid w:val="00606970"/>
    <w:rsid w:val="00610133"/>
    <w:rsid w:val="00610AC0"/>
    <w:rsid w:val="00612026"/>
    <w:rsid w:val="006126F3"/>
    <w:rsid w:val="00612836"/>
    <w:rsid w:val="00613823"/>
    <w:rsid w:val="00614046"/>
    <w:rsid w:val="0061414A"/>
    <w:rsid w:val="00614AA4"/>
    <w:rsid w:val="00614B8F"/>
    <w:rsid w:val="006152CE"/>
    <w:rsid w:val="006161E8"/>
    <w:rsid w:val="0061642C"/>
    <w:rsid w:val="00616A1E"/>
    <w:rsid w:val="0062002C"/>
    <w:rsid w:val="00620C32"/>
    <w:rsid w:val="00620CCB"/>
    <w:rsid w:val="00621953"/>
    <w:rsid w:val="00623B2B"/>
    <w:rsid w:val="00624124"/>
    <w:rsid w:val="00624226"/>
    <w:rsid w:val="00624458"/>
    <w:rsid w:val="00624CBB"/>
    <w:rsid w:val="00625DFF"/>
    <w:rsid w:val="00626298"/>
    <w:rsid w:val="00626452"/>
    <w:rsid w:val="00626F22"/>
    <w:rsid w:val="00627044"/>
    <w:rsid w:val="00627895"/>
    <w:rsid w:val="00627EF2"/>
    <w:rsid w:val="006300E2"/>
    <w:rsid w:val="00630481"/>
    <w:rsid w:val="00630B43"/>
    <w:rsid w:val="006313BA"/>
    <w:rsid w:val="00632554"/>
    <w:rsid w:val="0063469B"/>
    <w:rsid w:val="00634B50"/>
    <w:rsid w:val="00634E12"/>
    <w:rsid w:val="00635290"/>
    <w:rsid w:val="0063599C"/>
    <w:rsid w:val="00635B05"/>
    <w:rsid w:val="00636B3B"/>
    <w:rsid w:val="00637D6A"/>
    <w:rsid w:val="00641288"/>
    <w:rsid w:val="006422D0"/>
    <w:rsid w:val="00643F8A"/>
    <w:rsid w:val="0064438C"/>
    <w:rsid w:val="006445C0"/>
    <w:rsid w:val="00644CB8"/>
    <w:rsid w:val="0064632D"/>
    <w:rsid w:val="0064633D"/>
    <w:rsid w:val="0064656A"/>
    <w:rsid w:val="00646CAF"/>
    <w:rsid w:val="00646EEC"/>
    <w:rsid w:val="00650933"/>
    <w:rsid w:val="00650ABD"/>
    <w:rsid w:val="006521CC"/>
    <w:rsid w:val="0065226A"/>
    <w:rsid w:val="006532FD"/>
    <w:rsid w:val="00653B42"/>
    <w:rsid w:val="00655830"/>
    <w:rsid w:val="0065703D"/>
    <w:rsid w:val="0065776F"/>
    <w:rsid w:val="006601AE"/>
    <w:rsid w:val="006615DD"/>
    <w:rsid w:val="00664350"/>
    <w:rsid w:val="006644F4"/>
    <w:rsid w:val="00664EA2"/>
    <w:rsid w:val="006651C8"/>
    <w:rsid w:val="00665C23"/>
    <w:rsid w:val="006662D0"/>
    <w:rsid w:val="00666523"/>
    <w:rsid w:val="006676AE"/>
    <w:rsid w:val="006679C8"/>
    <w:rsid w:val="00667F3B"/>
    <w:rsid w:val="006705F0"/>
    <w:rsid w:val="00671756"/>
    <w:rsid w:val="0067194D"/>
    <w:rsid w:val="00672D4F"/>
    <w:rsid w:val="0067312E"/>
    <w:rsid w:val="00673AEE"/>
    <w:rsid w:val="00675395"/>
    <w:rsid w:val="00676070"/>
    <w:rsid w:val="00677019"/>
    <w:rsid w:val="00680110"/>
    <w:rsid w:val="0068111F"/>
    <w:rsid w:val="00681430"/>
    <w:rsid w:val="00682A15"/>
    <w:rsid w:val="00682C20"/>
    <w:rsid w:val="00682CA0"/>
    <w:rsid w:val="0068304E"/>
    <w:rsid w:val="006830CF"/>
    <w:rsid w:val="006833FF"/>
    <w:rsid w:val="00684908"/>
    <w:rsid w:val="0068536C"/>
    <w:rsid w:val="00685620"/>
    <w:rsid w:val="0068641B"/>
    <w:rsid w:val="006866A1"/>
    <w:rsid w:val="006866DA"/>
    <w:rsid w:val="00686BA7"/>
    <w:rsid w:val="00687996"/>
    <w:rsid w:val="00690D2B"/>
    <w:rsid w:val="0069224C"/>
    <w:rsid w:val="00692E34"/>
    <w:rsid w:val="00693778"/>
    <w:rsid w:val="00693D04"/>
    <w:rsid w:val="00693D94"/>
    <w:rsid w:val="006943F2"/>
    <w:rsid w:val="0069596D"/>
    <w:rsid w:val="00696242"/>
    <w:rsid w:val="006964CF"/>
    <w:rsid w:val="006966FD"/>
    <w:rsid w:val="0069741A"/>
    <w:rsid w:val="00697786"/>
    <w:rsid w:val="006A0578"/>
    <w:rsid w:val="006A0A6C"/>
    <w:rsid w:val="006A0BED"/>
    <w:rsid w:val="006A2A86"/>
    <w:rsid w:val="006A4990"/>
    <w:rsid w:val="006A6B3A"/>
    <w:rsid w:val="006A6F8E"/>
    <w:rsid w:val="006A79A0"/>
    <w:rsid w:val="006A7BD4"/>
    <w:rsid w:val="006B0B39"/>
    <w:rsid w:val="006B0F7A"/>
    <w:rsid w:val="006B1331"/>
    <w:rsid w:val="006B23CD"/>
    <w:rsid w:val="006B2880"/>
    <w:rsid w:val="006B31B0"/>
    <w:rsid w:val="006B3D88"/>
    <w:rsid w:val="006B3F85"/>
    <w:rsid w:val="006B4A40"/>
    <w:rsid w:val="006B4AAE"/>
    <w:rsid w:val="006B5978"/>
    <w:rsid w:val="006B5E6F"/>
    <w:rsid w:val="006C1A93"/>
    <w:rsid w:val="006C1F1B"/>
    <w:rsid w:val="006C220A"/>
    <w:rsid w:val="006C2A5F"/>
    <w:rsid w:val="006C2BC3"/>
    <w:rsid w:val="006C4BF0"/>
    <w:rsid w:val="006C4F85"/>
    <w:rsid w:val="006C5064"/>
    <w:rsid w:val="006C574A"/>
    <w:rsid w:val="006C5782"/>
    <w:rsid w:val="006C5EB2"/>
    <w:rsid w:val="006C6921"/>
    <w:rsid w:val="006C7465"/>
    <w:rsid w:val="006C7C06"/>
    <w:rsid w:val="006D0EBE"/>
    <w:rsid w:val="006D1956"/>
    <w:rsid w:val="006D3000"/>
    <w:rsid w:val="006D33D5"/>
    <w:rsid w:val="006D3E7A"/>
    <w:rsid w:val="006D426C"/>
    <w:rsid w:val="006D5019"/>
    <w:rsid w:val="006D6D5E"/>
    <w:rsid w:val="006E1443"/>
    <w:rsid w:val="006E15F8"/>
    <w:rsid w:val="006E1833"/>
    <w:rsid w:val="006E3AA0"/>
    <w:rsid w:val="006E3FB7"/>
    <w:rsid w:val="006E519D"/>
    <w:rsid w:val="006E5371"/>
    <w:rsid w:val="006E5BD1"/>
    <w:rsid w:val="006E615A"/>
    <w:rsid w:val="006E623F"/>
    <w:rsid w:val="006E7707"/>
    <w:rsid w:val="006E7714"/>
    <w:rsid w:val="006F00B1"/>
    <w:rsid w:val="006F04A1"/>
    <w:rsid w:val="006F1A94"/>
    <w:rsid w:val="006F1AB5"/>
    <w:rsid w:val="006F1CDC"/>
    <w:rsid w:val="006F2FE8"/>
    <w:rsid w:val="006F3718"/>
    <w:rsid w:val="006F3A02"/>
    <w:rsid w:val="006F401D"/>
    <w:rsid w:val="006F470F"/>
    <w:rsid w:val="006F4F6C"/>
    <w:rsid w:val="006F4F93"/>
    <w:rsid w:val="00701F09"/>
    <w:rsid w:val="00702372"/>
    <w:rsid w:val="00702502"/>
    <w:rsid w:val="00702647"/>
    <w:rsid w:val="007037DC"/>
    <w:rsid w:val="00703A47"/>
    <w:rsid w:val="00704213"/>
    <w:rsid w:val="00704951"/>
    <w:rsid w:val="00705CCF"/>
    <w:rsid w:val="0070619B"/>
    <w:rsid w:val="00706C56"/>
    <w:rsid w:val="00710900"/>
    <w:rsid w:val="00711B4D"/>
    <w:rsid w:val="0071218F"/>
    <w:rsid w:val="00713147"/>
    <w:rsid w:val="00714350"/>
    <w:rsid w:val="0071491A"/>
    <w:rsid w:val="00714A96"/>
    <w:rsid w:val="00714B3B"/>
    <w:rsid w:val="007160D8"/>
    <w:rsid w:val="007171DC"/>
    <w:rsid w:val="00717413"/>
    <w:rsid w:val="0071789B"/>
    <w:rsid w:val="00721272"/>
    <w:rsid w:val="00722561"/>
    <w:rsid w:val="00722DE0"/>
    <w:rsid w:val="00723295"/>
    <w:rsid w:val="00724A96"/>
    <w:rsid w:val="007250B6"/>
    <w:rsid w:val="00725F32"/>
    <w:rsid w:val="0072635C"/>
    <w:rsid w:val="00727050"/>
    <w:rsid w:val="00727929"/>
    <w:rsid w:val="00727FFB"/>
    <w:rsid w:val="0073171C"/>
    <w:rsid w:val="00733547"/>
    <w:rsid w:val="0073443E"/>
    <w:rsid w:val="00734449"/>
    <w:rsid w:val="007350F5"/>
    <w:rsid w:val="0073668D"/>
    <w:rsid w:val="00736C47"/>
    <w:rsid w:val="00740592"/>
    <w:rsid w:val="00740ED7"/>
    <w:rsid w:val="007417DD"/>
    <w:rsid w:val="0074202F"/>
    <w:rsid w:val="00742768"/>
    <w:rsid w:val="00742789"/>
    <w:rsid w:val="007439B5"/>
    <w:rsid w:val="0074408F"/>
    <w:rsid w:val="00744680"/>
    <w:rsid w:val="00744EAA"/>
    <w:rsid w:val="00745820"/>
    <w:rsid w:val="007462CB"/>
    <w:rsid w:val="00747DBC"/>
    <w:rsid w:val="00750463"/>
    <w:rsid w:val="0075055F"/>
    <w:rsid w:val="007507B4"/>
    <w:rsid w:val="00750A94"/>
    <w:rsid w:val="00750E6D"/>
    <w:rsid w:val="0075138C"/>
    <w:rsid w:val="0075196A"/>
    <w:rsid w:val="00752440"/>
    <w:rsid w:val="007539AB"/>
    <w:rsid w:val="007539E0"/>
    <w:rsid w:val="00753F5C"/>
    <w:rsid w:val="00754FFE"/>
    <w:rsid w:val="0075548B"/>
    <w:rsid w:val="007558E7"/>
    <w:rsid w:val="00756BDF"/>
    <w:rsid w:val="00760625"/>
    <w:rsid w:val="00761226"/>
    <w:rsid w:val="00761422"/>
    <w:rsid w:val="00761917"/>
    <w:rsid w:val="00763112"/>
    <w:rsid w:val="00763F79"/>
    <w:rsid w:val="00763FDF"/>
    <w:rsid w:val="00764BD0"/>
    <w:rsid w:val="00764D2E"/>
    <w:rsid w:val="00765F3A"/>
    <w:rsid w:val="00766AEE"/>
    <w:rsid w:val="007677C6"/>
    <w:rsid w:val="0077221F"/>
    <w:rsid w:val="0077347D"/>
    <w:rsid w:val="00776448"/>
    <w:rsid w:val="00776486"/>
    <w:rsid w:val="00777489"/>
    <w:rsid w:val="007777A9"/>
    <w:rsid w:val="007777C9"/>
    <w:rsid w:val="007800AE"/>
    <w:rsid w:val="0078080D"/>
    <w:rsid w:val="007811F7"/>
    <w:rsid w:val="00784609"/>
    <w:rsid w:val="00785745"/>
    <w:rsid w:val="007857BE"/>
    <w:rsid w:val="00787593"/>
    <w:rsid w:val="00791158"/>
    <w:rsid w:val="0079159F"/>
    <w:rsid w:val="00792F72"/>
    <w:rsid w:val="007932D7"/>
    <w:rsid w:val="0079344D"/>
    <w:rsid w:val="007936C6"/>
    <w:rsid w:val="007937B6"/>
    <w:rsid w:val="00794E58"/>
    <w:rsid w:val="0079511C"/>
    <w:rsid w:val="00797501"/>
    <w:rsid w:val="007A0317"/>
    <w:rsid w:val="007A1A10"/>
    <w:rsid w:val="007A1AB9"/>
    <w:rsid w:val="007A24E9"/>
    <w:rsid w:val="007A2C53"/>
    <w:rsid w:val="007A35E9"/>
    <w:rsid w:val="007A3926"/>
    <w:rsid w:val="007A398C"/>
    <w:rsid w:val="007A54F2"/>
    <w:rsid w:val="007A7856"/>
    <w:rsid w:val="007B06FB"/>
    <w:rsid w:val="007B0798"/>
    <w:rsid w:val="007B0CFD"/>
    <w:rsid w:val="007B10F6"/>
    <w:rsid w:val="007B29BC"/>
    <w:rsid w:val="007B2B11"/>
    <w:rsid w:val="007B4C3E"/>
    <w:rsid w:val="007B4D4A"/>
    <w:rsid w:val="007B5717"/>
    <w:rsid w:val="007B572E"/>
    <w:rsid w:val="007B5F2A"/>
    <w:rsid w:val="007B6B21"/>
    <w:rsid w:val="007B791A"/>
    <w:rsid w:val="007C0EAD"/>
    <w:rsid w:val="007C10E2"/>
    <w:rsid w:val="007C1370"/>
    <w:rsid w:val="007C2BFC"/>
    <w:rsid w:val="007C2E7E"/>
    <w:rsid w:val="007C303B"/>
    <w:rsid w:val="007C388A"/>
    <w:rsid w:val="007C494D"/>
    <w:rsid w:val="007C4F87"/>
    <w:rsid w:val="007C5073"/>
    <w:rsid w:val="007C62C8"/>
    <w:rsid w:val="007C7AB5"/>
    <w:rsid w:val="007D04E6"/>
    <w:rsid w:val="007D1E43"/>
    <w:rsid w:val="007D21AE"/>
    <w:rsid w:val="007D42FB"/>
    <w:rsid w:val="007D44AA"/>
    <w:rsid w:val="007D5235"/>
    <w:rsid w:val="007D5447"/>
    <w:rsid w:val="007D576E"/>
    <w:rsid w:val="007D58F7"/>
    <w:rsid w:val="007D5CE8"/>
    <w:rsid w:val="007D6CB4"/>
    <w:rsid w:val="007D6F6A"/>
    <w:rsid w:val="007D70F4"/>
    <w:rsid w:val="007D7781"/>
    <w:rsid w:val="007E0F6E"/>
    <w:rsid w:val="007E1B74"/>
    <w:rsid w:val="007E1BE0"/>
    <w:rsid w:val="007E214D"/>
    <w:rsid w:val="007E329F"/>
    <w:rsid w:val="007E370F"/>
    <w:rsid w:val="007E389D"/>
    <w:rsid w:val="007E5169"/>
    <w:rsid w:val="007E55A7"/>
    <w:rsid w:val="007E5F67"/>
    <w:rsid w:val="007E644A"/>
    <w:rsid w:val="007E66B9"/>
    <w:rsid w:val="007E6A3E"/>
    <w:rsid w:val="007E6E64"/>
    <w:rsid w:val="007E72A7"/>
    <w:rsid w:val="007E754D"/>
    <w:rsid w:val="007F04A9"/>
    <w:rsid w:val="007F0B8F"/>
    <w:rsid w:val="007F0F45"/>
    <w:rsid w:val="007F140E"/>
    <w:rsid w:val="007F1AD5"/>
    <w:rsid w:val="007F1B38"/>
    <w:rsid w:val="007F2E47"/>
    <w:rsid w:val="007F3E44"/>
    <w:rsid w:val="007F5197"/>
    <w:rsid w:val="007F5513"/>
    <w:rsid w:val="007F5869"/>
    <w:rsid w:val="007F7268"/>
    <w:rsid w:val="007F7918"/>
    <w:rsid w:val="007F791F"/>
    <w:rsid w:val="007F7DA0"/>
    <w:rsid w:val="00800D7B"/>
    <w:rsid w:val="008026BB"/>
    <w:rsid w:val="008035EF"/>
    <w:rsid w:val="0080603B"/>
    <w:rsid w:val="00806A1F"/>
    <w:rsid w:val="0081000E"/>
    <w:rsid w:val="00810429"/>
    <w:rsid w:val="00810C79"/>
    <w:rsid w:val="00811CEE"/>
    <w:rsid w:val="0081266A"/>
    <w:rsid w:val="00814073"/>
    <w:rsid w:val="0081514A"/>
    <w:rsid w:val="00815454"/>
    <w:rsid w:val="008154FE"/>
    <w:rsid w:val="008157E5"/>
    <w:rsid w:val="00815FA8"/>
    <w:rsid w:val="00816BB7"/>
    <w:rsid w:val="00816D42"/>
    <w:rsid w:val="008203C0"/>
    <w:rsid w:val="0082159C"/>
    <w:rsid w:val="00821DFD"/>
    <w:rsid w:val="00821FB1"/>
    <w:rsid w:val="0082201F"/>
    <w:rsid w:val="008245F8"/>
    <w:rsid w:val="00825AB2"/>
    <w:rsid w:val="0082701E"/>
    <w:rsid w:val="0082722F"/>
    <w:rsid w:val="00830545"/>
    <w:rsid w:val="008307A5"/>
    <w:rsid w:val="00830D93"/>
    <w:rsid w:val="0083170A"/>
    <w:rsid w:val="00834A4B"/>
    <w:rsid w:val="00834C1B"/>
    <w:rsid w:val="00834FBE"/>
    <w:rsid w:val="00836C21"/>
    <w:rsid w:val="00836C6A"/>
    <w:rsid w:val="0083711D"/>
    <w:rsid w:val="008379BB"/>
    <w:rsid w:val="00840B6C"/>
    <w:rsid w:val="008417B2"/>
    <w:rsid w:val="008417E5"/>
    <w:rsid w:val="00841C7B"/>
    <w:rsid w:val="00844036"/>
    <w:rsid w:val="008442F4"/>
    <w:rsid w:val="0084474F"/>
    <w:rsid w:val="008448B4"/>
    <w:rsid w:val="008453D0"/>
    <w:rsid w:val="00846CC6"/>
    <w:rsid w:val="008472D4"/>
    <w:rsid w:val="008477D8"/>
    <w:rsid w:val="0085059E"/>
    <w:rsid w:val="008515F9"/>
    <w:rsid w:val="00851DB3"/>
    <w:rsid w:val="008534D7"/>
    <w:rsid w:val="008536CD"/>
    <w:rsid w:val="0085489C"/>
    <w:rsid w:val="00854DF9"/>
    <w:rsid w:val="008555B5"/>
    <w:rsid w:val="008557D7"/>
    <w:rsid w:val="00857CA7"/>
    <w:rsid w:val="0086161C"/>
    <w:rsid w:val="00861E78"/>
    <w:rsid w:val="008621C5"/>
    <w:rsid w:val="0086265C"/>
    <w:rsid w:val="00862F65"/>
    <w:rsid w:val="00863159"/>
    <w:rsid w:val="00863218"/>
    <w:rsid w:val="00863C0E"/>
    <w:rsid w:val="00864EC1"/>
    <w:rsid w:val="00865189"/>
    <w:rsid w:val="00865340"/>
    <w:rsid w:val="0086724E"/>
    <w:rsid w:val="00867751"/>
    <w:rsid w:val="0087034A"/>
    <w:rsid w:val="00870A00"/>
    <w:rsid w:val="00872DCE"/>
    <w:rsid w:val="00874418"/>
    <w:rsid w:val="0087444B"/>
    <w:rsid w:val="00875EE6"/>
    <w:rsid w:val="00876990"/>
    <w:rsid w:val="008774DD"/>
    <w:rsid w:val="00877956"/>
    <w:rsid w:val="008779C0"/>
    <w:rsid w:val="00877B10"/>
    <w:rsid w:val="0088014B"/>
    <w:rsid w:val="008804B4"/>
    <w:rsid w:val="00880E06"/>
    <w:rsid w:val="008811F9"/>
    <w:rsid w:val="00883722"/>
    <w:rsid w:val="00884266"/>
    <w:rsid w:val="00885F4C"/>
    <w:rsid w:val="00886F22"/>
    <w:rsid w:val="008903DB"/>
    <w:rsid w:val="008924C6"/>
    <w:rsid w:val="00892B87"/>
    <w:rsid w:val="00892B9F"/>
    <w:rsid w:val="00892F2A"/>
    <w:rsid w:val="00893287"/>
    <w:rsid w:val="008933FC"/>
    <w:rsid w:val="0089414B"/>
    <w:rsid w:val="008941C1"/>
    <w:rsid w:val="0089505B"/>
    <w:rsid w:val="0089570B"/>
    <w:rsid w:val="00895BF9"/>
    <w:rsid w:val="008963CE"/>
    <w:rsid w:val="00896476"/>
    <w:rsid w:val="00896B23"/>
    <w:rsid w:val="0089703B"/>
    <w:rsid w:val="0089785D"/>
    <w:rsid w:val="008A00C5"/>
    <w:rsid w:val="008A046F"/>
    <w:rsid w:val="008A05DD"/>
    <w:rsid w:val="008A4B71"/>
    <w:rsid w:val="008A4E61"/>
    <w:rsid w:val="008A5024"/>
    <w:rsid w:val="008A528D"/>
    <w:rsid w:val="008A55B4"/>
    <w:rsid w:val="008A7460"/>
    <w:rsid w:val="008B2828"/>
    <w:rsid w:val="008B37B6"/>
    <w:rsid w:val="008B4AFF"/>
    <w:rsid w:val="008B4E6F"/>
    <w:rsid w:val="008B4F1C"/>
    <w:rsid w:val="008B5D55"/>
    <w:rsid w:val="008B64A1"/>
    <w:rsid w:val="008B66BD"/>
    <w:rsid w:val="008B6A1A"/>
    <w:rsid w:val="008B6D41"/>
    <w:rsid w:val="008C06D7"/>
    <w:rsid w:val="008C0A04"/>
    <w:rsid w:val="008C2C36"/>
    <w:rsid w:val="008C3248"/>
    <w:rsid w:val="008C49EB"/>
    <w:rsid w:val="008C66BF"/>
    <w:rsid w:val="008C7211"/>
    <w:rsid w:val="008D00EE"/>
    <w:rsid w:val="008D070F"/>
    <w:rsid w:val="008D0821"/>
    <w:rsid w:val="008D2AB7"/>
    <w:rsid w:val="008D4744"/>
    <w:rsid w:val="008D7917"/>
    <w:rsid w:val="008D7FD9"/>
    <w:rsid w:val="008E0A3E"/>
    <w:rsid w:val="008E2985"/>
    <w:rsid w:val="008E3331"/>
    <w:rsid w:val="008E3474"/>
    <w:rsid w:val="008E38C7"/>
    <w:rsid w:val="008E3BC6"/>
    <w:rsid w:val="008E433E"/>
    <w:rsid w:val="008E442B"/>
    <w:rsid w:val="008E4783"/>
    <w:rsid w:val="008E50DF"/>
    <w:rsid w:val="008E5A15"/>
    <w:rsid w:val="008E5F77"/>
    <w:rsid w:val="008E7591"/>
    <w:rsid w:val="008F0ED6"/>
    <w:rsid w:val="008F0EF5"/>
    <w:rsid w:val="008F1731"/>
    <w:rsid w:val="008F1965"/>
    <w:rsid w:val="008F251B"/>
    <w:rsid w:val="008F2624"/>
    <w:rsid w:val="008F35E2"/>
    <w:rsid w:val="008F5378"/>
    <w:rsid w:val="008F67DD"/>
    <w:rsid w:val="008F7055"/>
    <w:rsid w:val="008F7099"/>
    <w:rsid w:val="008F71A2"/>
    <w:rsid w:val="00901BA5"/>
    <w:rsid w:val="00903823"/>
    <w:rsid w:val="00904769"/>
    <w:rsid w:val="00905DEE"/>
    <w:rsid w:val="00906C2D"/>
    <w:rsid w:val="00907846"/>
    <w:rsid w:val="00907F5F"/>
    <w:rsid w:val="00910633"/>
    <w:rsid w:val="009115E4"/>
    <w:rsid w:val="009121E0"/>
    <w:rsid w:val="00913C84"/>
    <w:rsid w:val="009147E0"/>
    <w:rsid w:val="00915264"/>
    <w:rsid w:val="00915F91"/>
    <w:rsid w:val="00916D70"/>
    <w:rsid w:val="009209B3"/>
    <w:rsid w:val="00922214"/>
    <w:rsid w:val="00925A4C"/>
    <w:rsid w:val="0092676C"/>
    <w:rsid w:val="0092682D"/>
    <w:rsid w:val="009273DB"/>
    <w:rsid w:val="00927508"/>
    <w:rsid w:val="00927608"/>
    <w:rsid w:val="0093047A"/>
    <w:rsid w:val="00930B96"/>
    <w:rsid w:val="00931088"/>
    <w:rsid w:val="00931DCF"/>
    <w:rsid w:val="00932135"/>
    <w:rsid w:val="00932899"/>
    <w:rsid w:val="00933225"/>
    <w:rsid w:val="00934CCF"/>
    <w:rsid w:val="009366AE"/>
    <w:rsid w:val="00936A8B"/>
    <w:rsid w:val="00937837"/>
    <w:rsid w:val="009400DF"/>
    <w:rsid w:val="00940472"/>
    <w:rsid w:val="009413C2"/>
    <w:rsid w:val="00941A0D"/>
    <w:rsid w:val="00941A70"/>
    <w:rsid w:val="00942FA2"/>
    <w:rsid w:val="00943161"/>
    <w:rsid w:val="009445E8"/>
    <w:rsid w:val="00944D00"/>
    <w:rsid w:val="009450EE"/>
    <w:rsid w:val="00945371"/>
    <w:rsid w:val="00950C44"/>
    <w:rsid w:val="0095406E"/>
    <w:rsid w:val="00955220"/>
    <w:rsid w:val="00956A79"/>
    <w:rsid w:val="009600AD"/>
    <w:rsid w:val="009609E2"/>
    <w:rsid w:val="0096105D"/>
    <w:rsid w:val="009615E1"/>
    <w:rsid w:val="00961BAD"/>
    <w:rsid w:val="009624BB"/>
    <w:rsid w:val="009624DE"/>
    <w:rsid w:val="009660F6"/>
    <w:rsid w:val="00967EB9"/>
    <w:rsid w:val="00970830"/>
    <w:rsid w:val="00971B04"/>
    <w:rsid w:val="00972191"/>
    <w:rsid w:val="0097261C"/>
    <w:rsid w:val="00973131"/>
    <w:rsid w:val="0097426D"/>
    <w:rsid w:val="00974652"/>
    <w:rsid w:val="00975341"/>
    <w:rsid w:val="0097589A"/>
    <w:rsid w:val="009761BB"/>
    <w:rsid w:val="00976C44"/>
    <w:rsid w:val="00976D92"/>
    <w:rsid w:val="009779DD"/>
    <w:rsid w:val="00977EF0"/>
    <w:rsid w:val="009803E5"/>
    <w:rsid w:val="00981748"/>
    <w:rsid w:val="00982946"/>
    <w:rsid w:val="00983328"/>
    <w:rsid w:val="00983B6D"/>
    <w:rsid w:val="009842EF"/>
    <w:rsid w:val="0098443C"/>
    <w:rsid w:val="009857C1"/>
    <w:rsid w:val="00985F30"/>
    <w:rsid w:val="00987EFB"/>
    <w:rsid w:val="009910BD"/>
    <w:rsid w:val="0099224A"/>
    <w:rsid w:val="00992266"/>
    <w:rsid w:val="00994894"/>
    <w:rsid w:val="00995A81"/>
    <w:rsid w:val="00996105"/>
    <w:rsid w:val="00996DEA"/>
    <w:rsid w:val="009972FC"/>
    <w:rsid w:val="009976CC"/>
    <w:rsid w:val="009979FF"/>
    <w:rsid w:val="009A1A96"/>
    <w:rsid w:val="009A4AE5"/>
    <w:rsid w:val="009A4B5F"/>
    <w:rsid w:val="009A59C2"/>
    <w:rsid w:val="009A7383"/>
    <w:rsid w:val="009A7610"/>
    <w:rsid w:val="009A773E"/>
    <w:rsid w:val="009A7A38"/>
    <w:rsid w:val="009B1469"/>
    <w:rsid w:val="009B146B"/>
    <w:rsid w:val="009B1B43"/>
    <w:rsid w:val="009B28BC"/>
    <w:rsid w:val="009B29AA"/>
    <w:rsid w:val="009B3721"/>
    <w:rsid w:val="009B379E"/>
    <w:rsid w:val="009B38DF"/>
    <w:rsid w:val="009B3DD4"/>
    <w:rsid w:val="009B4241"/>
    <w:rsid w:val="009B4599"/>
    <w:rsid w:val="009B4A5B"/>
    <w:rsid w:val="009B58E6"/>
    <w:rsid w:val="009B5A2F"/>
    <w:rsid w:val="009B5B1D"/>
    <w:rsid w:val="009B5B31"/>
    <w:rsid w:val="009B6174"/>
    <w:rsid w:val="009B656F"/>
    <w:rsid w:val="009B6B7C"/>
    <w:rsid w:val="009C1569"/>
    <w:rsid w:val="009C19DB"/>
    <w:rsid w:val="009C29E9"/>
    <w:rsid w:val="009C320F"/>
    <w:rsid w:val="009C332E"/>
    <w:rsid w:val="009C3C3F"/>
    <w:rsid w:val="009C427C"/>
    <w:rsid w:val="009C4903"/>
    <w:rsid w:val="009C60C6"/>
    <w:rsid w:val="009C72DD"/>
    <w:rsid w:val="009C77DE"/>
    <w:rsid w:val="009C7B57"/>
    <w:rsid w:val="009C7E13"/>
    <w:rsid w:val="009D0826"/>
    <w:rsid w:val="009D0CF6"/>
    <w:rsid w:val="009D18FA"/>
    <w:rsid w:val="009D1E73"/>
    <w:rsid w:val="009D2681"/>
    <w:rsid w:val="009D2865"/>
    <w:rsid w:val="009D3093"/>
    <w:rsid w:val="009D345F"/>
    <w:rsid w:val="009D499B"/>
    <w:rsid w:val="009D5B98"/>
    <w:rsid w:val="009D67B7"/>
    <w:rsid w:val="009D6C1E"/>
    <w:rsid w:val="009D6EF1"/>
    <w:rsid w:val="009E014C"/>
    <w:rsid w:val="009E17D4"/>
    <w:rsid w:val="009E22EB"/>
    <w:rsid w:val="009E3996"/>
    <w:rsid w:val="009E4431"/>
    <w:rsid w:val="009E4888"/>
    <w:rsid w:val="009E4FF1"/>
    <w:rsid w:val="009E5D54"/>
    <w:rsid w:val="009E62B9"/>
    <w:rsid w:val="009E7215"/>
    <w:rsid w:val="009F0A40"/>
    <w:rsid w:val="009F0CE3"/>
    <w:rsid w:val="009F0DC5"/>
    <w:rsid w:val="009F208B"/>
    <w:rsid w:val="009F29E8"/>
    <w:rsid w:val="009F3EE7"/>
    <w:rsid w:val="009F419B"/>
    <w:rsid w:val="009F635E"/>
    <w:rsid w:val="009F6454"/>
    <w:rsid w:val="00A00340"/>
    <w:rsid w:val="00A01B42"/>
    <w:rsid w:val="00A02234"/>
    <w:rsid w:val="00A02C64"/>
    <w:rsid w:val="00A03135"/>
    <w:rsid w:val="00A033EB"/>
    <w:rsid w:val="00A035E4"/>
    <w:rsid w:val="00A0383E"/>
    <w:rsid w:val="00A05BCA"/>
    <w:rsid w:val="00A060AC"/>
    <w:rsid w:val="00A0691A"/>
    <w:rsid w:val="00A06B0A"/>
    <w:rsid w:val="00A076E4"/>
    <w:rsid w:val="00A11684"/>
    <w:rsid w:val="00A12EE1"/>
    <w:rsid w:val="00A133B9"/>
    <w:rsid w:val="00A14145"/>
    <w:rsid w:val="00A16077"/>
    <w:rsid w:val="00A1630E"/>
    <w:rsid w:val="00A16EAC"/>
    <w:rsid w:val="00A17C67"/>
    <w:rsid w:val="00A20012"/>
    <w:rsid w:val="00A201C7"/>
    <w:rsid w:val="00A21313"/>
    <w:rsid w:val="00A21C92"/>
    <w:rsid w:val="00A22AA7"/>
    <w:rsid w:val="00A23ACD"/>
    <w:rsid w:val="00A30457"/>
    <w:rsid w:val="00A30C64"/>
    <w:rsid w:val="00A30D32"/>
    <w:rsid w:val="00A32522"/>
    <w:rsid w:val="00A32DAE"/>
    <w:rsid w:val="00A32F6A"/>
    <w:rsid w:val="00A34022"/>
    <w:rsid w:val="00A36C18"/>
    <w:rsid w:val="00A37A00"/>
    <w:rsid w:val="00A40040"/>
    <w:rsid w:val="00A41500"/>
    <w:rsid w:val="00A42F1D"/>
    <w:rsid w:val="00A44286"/>
    <w:rsid w:val="00A4580B"/>
    <w:rsid w:val="00A46190"/>
    <w:rsid w:val="00A50040"/>
    <w:rsid w:val="00A5097A"/>
    <w:rsid w:val="00A5108E"/>
    <w:rsid w:val="00A5141E"/>
    <w:rsid w:val="00A518B6"/>
    <w:rsid w:val="00A52615"/>
    <w:rsid w:val="00A53E23"/>
    <w:rsid w:val="00A54ABD"/>
    <w:rsid w:val="00A573D4"/>
    <w:rsid w:val="00A57A85"/>
    <w:rsid w:val="00A60F56"/>
    <w:rsid w:val="00A61270"/>
    <w:rsid w:val="00A61CD9"/>
    <w:rsid w:val="00A62003"/>
    <w:rsid w:val="00A62054"/>
    <w:rsid w:val="00A62503"/>
    <w:rsid w:val="00A629C1"/>
    <w:rsid w:val="00A63641"/>
    <w:rsid w:val="00A6429C"/>
    <w:rsid w:val="00A644EC"/>
    <w:rsid w:val="00A6497F"/>
    <w:rsid w:val="00A6540C"/>
    <w:rsid w:val="00A6588F"/>
    <w:rsid w:val="00A659A4"/>
    <w:rsid w:val="00A65CAD"/>
    <w:rsid w:val="00A65D39"/>
    <w:rsid w:val="00A67CD1"/>
    <w:rsid w:val="00A70C45"/>
    <w:rsid w:val="00A71205"/>
    <w:rsid w:val="00A718D1"/>
    <w:rsid w:val="00A71ADB"/>
    <w:rsid w:val="00A72B9C"/>
    <w:rsid w:val="00A738AB"/>
    <w:rsid w:val="00A73ABB"/>
    <w:rsid w:val="00A745DE"/>
    <w:rsid w:val="00A7482C"/>
    <w:rsid w:val="00A74CF2"/>
    <w:rsid w:val="00A800AA"/>
    <w:rsid w:val="00A80490"/>
    <w:rsid w:val="00A81A02"/>
    <w:rsid w:val="00A81A8F"/>
    <w:rsid w:val="00A8241B"/>
    <w:rsid w:val="00A8298E"/>
    <w:rsid w:val="00A83086"/>
    <w:rsid w:val="00A83525"/>
    <w:rsid w:val="00A83C64"/>
    <w:rsid w:val="00A84B00"/>
    <w:rsid w:val="00A85260"/>
    <w:rsid w:val="00A85A02"/>
    <w:rsid w:val="00A85ED3"/>
    <w:rsid w:val="00A860B6"/>
    <w:rsid w:val="00A8660C"/>
    <w:rsid w:val="00A86943"/>
    <w:rsid w:val="00A86C7F"/>
    <w:rsid w:val="00A870C2"/>
    <w:rsid w:val="00A872D9"/>
    <w:rsid w:val="00A87A64"/>
    <w:rsid w:val="00A904A0"/>
    <w:rsid w:val="00A91F75"/>
    <w:rsid w:val="00A9276F"/>
    <w:rsid w:val="00A937A6"/>
    <w:rsid w:val="00A95194"/>
    <w:rsid w:val="00A955AE"/>
    <w:rsid w:val="00A95D10"/>
    <w:rsid w:val="00A96525"/>
    <w:rsid w:val="00A96546"/>
    <w:rsid w:val="00A96DA9"/>
    <w:rsid w:val="00A97665"/>
    <w:rsid w:val="00A9768C"/>
    <w:rsid w:val="00AA03FA"/>
    <w:rsid w:val="00AA1181"/>
    <w:rsid w:val="00AA12AE"/>
    <w:rsid w:val="00AA14C0"/>
    <w:rsid w:val="00AA1C17"/>
    <w:rsid w:val="00AA1FE5"/>
    <w:rsid w:val="00AA260D"/>
    <w:rsid w:val="00AA2C07"/>
    <w:rsid w:val="00AA3D54"/>
    <w:rsid w:val="00AA3F66"/>
    <w:rsid w:val="00AA416C"/>
    <w:rsid w:val="00AA4C6D"/>
    <w:rsid w:val="00AA5E6B"/>
    <w:rsid w:val="00AA5ECA"/>
    <w:rsid w:val="00AA61CF"/>
    <w:rsid w:val="00AA714E"/>
    <w:rsid w:val="00AA71CA"/>
    <w:rsid w:val="00AA7324"/>
    <w:rsid w:val="00AB0171"/>
    <w:rsid w:val="00AB0796"/>
    <w:rsid w:val="00AB15DA"/>
    <w:rsid w:val="00AB1CE5"/>
    <w:rsid w:val="00AB2F12"/>
    <w:rsid w:val="00AB3371"/>
    <w:rsid w:val="00AB745A"/>
    <w:rsid w:val="00AC04B1"/>
    <w:rsid w:val="00AC1405"/>
    <w:rsid w:val="00AC1515"/>
    <w:rsid w:val="00AC17CB"/>
    <w:rsid w:val="00AC19B8"/>
    <w:rsid w:val="00AC1E75"/>
    <w:rsid w:val="00AC2460"/>
    <w:rsid w:val="00AC24F8"/>
    <w:rsid w:val="00AC3C7B"/>
    <w:rsid w:val="00AC3D23"/>
    <w:rsid w:val="00AC4274"/>
    <w:rsid w:val="00AC50CB"/>
    <w:rsid w:val="00AC623F"/>
    <w:rsid w:val="00AC68FC"/>
    <w:rsid w:val="00AC6D5D"/>
    <w:rsid w:val="00AC7431"/>
    <w:rsid w:val="00AC7B19"/>
    <w:rsid w:val="00AD0949"/>
    <w:rsid w:val="00AD2193"/>
    <w:rsid w:val="00AD2A7C"/>
    <w:rsid w:val="00AD3814"/>
    <w:rsid w:val="00AD395D"/>
    <w:rsid w:val="00AD3C82"/>
    <w:rsid w:val="00AD4263"/>
    <w:rsid w:val="00AD488C"/>
    <w:rsid w:val="00AD59A0"/>
    <w:rsid w:val="00AD5BE6"/>
    <w:rsid w:val="00AD78C6"/>
    <w:rsid w:val="00AE004A"/>
    <w:rsid w:val="00AE02FB"/>
    <w:rsid w:val="00AE0ABF"/>
    <w:rsid w:val="00AE24E4"/>
    <w:rsid w:val="00AE3750"/>
    <w:rsid w:val="00AE4743"/>
    <w:rsid w:val="00AE488A"/>
    <w:rsid w:val="00AE5526"/>
    <w:rsid w:val="00AE59DD"/>
    <w:rsid w:val="00AE7795"/>
    <w:rsid w:val="00AE78FB"/>
    <w:rsid w:val="00AF07BB"/>
    <w:rsid w:val="00AF13A0"/>
    <w:rsid w:val="00AF4ED6"/>
    <w:rsid w:val="00AF58CC"/>
    <w:rsid w:val="00AF791A"/>
    <w:rsid w:val="00B01EFD"/>
    <w:rsid w:val="00B02EBA"/>
    <w:rsid w:val="00B03A53"/>
    <w:rsid w:val="00B05BF0"/>
    <w:rsid w:val="00B06362"/>
    <w:rsid w:val="00B07099"/>
    <w:rsid w:val="00B0718A"/>
    <w:rsid w:val="00B104BD"/>
    <w:rsid w:val="00B10527"/>
    <w:rsid w:val="00B109A3"/>
    <w:rsid w:val="00B10D92"/>
    <w:rsid w:val="00B10EBC"/>
    <w:rsid w:val="00B116E9"/>
    <w:rsid w:val="00B11943"/>
    <w:rsid w:val="00B123E1"/>
    <w:rsid w:val="00B1251D"/>
    <w:rsid w:val="00B12588"/>
    <w:rsid w:val="00B128B3"/>
    <w:rsid w:val="00B12CB3"/>
    <w:rsid w:val="00B13E57"/>
    <w:rsid w:val="00B1453E"/>
    <w:rsid w:val="00B15751"/>
    <w:rsid w:val="00B16D88"/>
    <w:rsid w:val="00B21035"/>
    <w:rsid w:val="00B214D2"/>
    <w:rsid w:val="00B219C5"/>
    <w:rsid w:val="00B21AE5"/>
    <w:rsid w:val="00B21B52"/>
    <w:rsid w:val="00B21C1B"/>
    <w:rsid w:val="00B23909"/>
    <w:rsid w:val="00B23A65"/>
    <w:rsid w:val="00B246F8"/>
    <w:rsid w:val="00B248C6"/>
    <w:rsid w:val="00B25CC8"/>
    <w:rsid w:val="00B26528"/>
    <w:rsid w:val="00B2689A"/>
    <w:rsid w:val="00B277B2"/>
    <w:rsid w:val="00B30B16"/>
    <w:rsid w:val="00B30CD0"/>
    <w:rsid w:val="00B31DA5"/>
    <w:rsid w:val="00B323FE"/>
    <w:rsid w:val="00B32A7B"/>
    <w:rsid w:val="00B33D2A"/>
    <w:rsid w:val="00B362C1"/>
    <w:rsid w:val="00B363B4"/>
    <w:rsid w:val="00B36502"/>
    <w:rsid w:val="00B370D8"/>
    <w:rsid w:val="00B37145"/>
    <w:rsid w:val="00B411C5"/>
    <w:rsid w:val="00B417E2"/>
    <w:rsid w:val="00B41BB2"/>
    <w:rsid w:val="00B42B0C"/>
    <w:rsid w:val="00B43E16"/>
    <w:rsid w:val="00B44D4B"/>
    <w:rsid w:val="00B4502F"/>
    <w:rsid w:val="00B4587A"/>
    <w:rsid w:val="00B4773D"/>
    <w:rsid w:val="00B479A6"/>
    <w:rsid w:val="00B5024A"/>
    <w:rsid w:val="00B50B2D"/>
    <w:rsid w:val="00B52575"/>
    <w:rsid w:val="00B529CB"/>
    <w:rsid w:val="00B539E2"/>
    <w:rsid w:val="00B556F3"/>
    <w:rsid w:val="00B61015"/>
    <w:rsid w:val="00B6129C"/>
    <w:rsid w:val="00B637A2"/>
    <w:rsid w:val="00B63A96"/>
    <w:rsid w:val="00B63AEE"/>
    <w:rsid w:val="00B63CF4"/>
    <w:rsid w:val="00B63D5C"/>
    <w:rsid w:val="00B65067"/>
    <w:rsid w:val="00B6510D"/>
    <w:rsid w:val="00B659C3"/>
    <w:rsid w:val="00B6667D"/>
    <w:rsid w:val="00B67966"/>
    <w:rsid w:val="00B71E95"/>
    <w:rsid w:val="00B72026"/>
    <w:rsid w:val="00B72400"/>
    <w:rsid w:val="00B72A6C"/>
    <w:rsid w:val="00B73737"/>
    <w:rsid w:val="00B73AC5"/>
    <w:rsid w:val="00B73D3E"/>
    <w:rsid w:val="00B74A68"/>
    <w:rsid w:val="00B76054"/>
    <w:rsid w:val="00B76995"/>
    <w:rsid w:val="00B80B1C"/>
    <w:rsid w:val="00B82664"/>
    <w:rsid w:val="00B830A3"/>
    <w:rsid w:val="00B8334B"/>
    <w:rsid w:val="00B84D52"/>
    <w:rsid w:val="00B8563E"/>
    <w:rsid w:val="00B85F98"/>
    <w:rsid w:val="00B8775D"/>
    <w:rsid w:val="00B87BB8"/>
    <w:rsid w:val="00B87E05"/>
    <w:rsid w:val="00B908F3"/>
    <w:rsid w:val="00B90DE2"/>
    <w:rsid w:val="00B92E00"/>
    <w:rsid w:val="00B93A8A"/>
    <w:rsid w:val="00B93C6F"/>
    <w:rsid w:val="00B94360"/>
    <w:rsid w:val="00B968C7"/>
    <w:rsid w:val="00B96F6C"/>
    <w:rsid w:val="00B97D76"/>
    <w:rsid w:val="00BA0A5B"/>
    <w:rsid w:val="00BA12A0"/>
    <w:rsid w:val="00BA51BD"/>
    <w:rsid w:val="00BA58A4"/>
    <w:rsid w:val="00BA75E0"/>
    <w:rsid w:val="00BA7877"/>
    <w:rsid w:val="00BB0857"/>
    <w:rsid w:val="00BB1F2A"/>
    <w:rsid w:val="00BB21ED"/>
    <w:rsid w:val="00BB3410"/>
    <w:rsid w:val="00BB4C9E"/>
    <w:rsid w:val="00BB4F81"/>
    <w:rsid w:val="00BB5BDE"/>
    <w:rsid w:val="00BB5EE3"/>
    <w:rsid w:val="00BB648F"/>
    <w:rsid w:val="00BC06C8"/>
    <w:rsid w:val="00BC1E9A"/>
    <w:rsid w:val="00BC29BA"/>
    <w:rsid w:val="00BC2AD9"/>
    <w:rsid w:val="00BC3685"/>
    <w:rsid w:val="00BC3763"/>
    <w:rsid w:val="00BC417E"/>
    <w:rsid w:val="00BC43E2"/>
    <w:rsid w:val="00BC539C"/>
    <w:rsid w:val="00BC59C9"/>
    <w:rsid w:val="00BC78AB"/>
    <w:rsid w:val="00BD03FE"/>
    <w:rsid w:val="00BD096A"/>
    <w:rsid w:val="00BD10A5"/>
    <w:rsid w:val="00BD192C"/>
    <w:rsid w:val="00BD1EC7"/>
    <w:rsid w:val="00BD1F03"/>
    <w:rsid w:val="00BD203C"/>
    <w:rsid w:val="00BD36C4"/>
    <w:rsid w:val="00BD404A"/>
    <w:rsid w:val="00BD4C2B"/>
    <w:rsid w:val="00BD5777"/>
    <w:rsid w:val="00BE01C0"/>
    <w:rsid w:val="00BE111E"/>
    <w:rsid w:val="00BE176E"/>
    <w:rsid w:val="00BE275F"/>
    <w:rsid w:val="00BE277F"/>
    <w:rsid w:val="00BE27D2"/>
    <w:rsid w:val="00BE2B53"/>
    <w:rsid w:val="00BE305C"/>
    <w:rsid w:val="00BE4C2C"/>
    <w:rsid w:val="00BE4D61"/>
    <w:rsid w:val="00BE53BA"/>
    <w:rsid w:val="00BE72C3"/>
    <w:rsid w:val="00BF05F6"/>
    <w:rsid w:val="00BF23D8"/>
    <w:rsid w:val="00BF28E7"/>
    <w:rsid w:val="00BF38CB"/>
    <w:rsid w:val="00BF4358"/>
    <w:rsid w:val="00BF56E6"/>
    <w:rsid w:val="00BF5BAA"/>
    <w:rsid w:val="00BF5DC5"/>
    <w:rsid w:val="00BF5F4E"/>
    <w:rsid w:val="00BF63C5"/>
    <w:rsid w:val="00BF6CCB"/>
    <w:rsid w:val="00C00797"/>
    <w:rsid w:val="00C008B7"/>
    <w:rsid w:val="00C00C55"/>
    <w:rsid w:val="00C01B16"/>
    <w:rsid w:val="00C02474"/>
    <w:rsid w:val="00C02CF6"/>
    <w:rsid w:val="00C03067"/>
    <w:rsid w:val="00C03EEA"/>
    <w:rsid w:val="00C07362"/>
    <w:rsid w:val="00C07F8A"/>
    <w:rsid w:val="00C10EB0"/>
    <w:rsid w:val="00C110BE"/>
    <w:rsid w:val="00C11535"/>
    <w:rsid w:val="00C11980"/>
    <w:rsid w:val="00C11F6C"/>
    <w:rsid w:val="00C12872"/>
    <w:rsid w:val="00C13633"/>
    <w:rsid w:val="00C1391C"/>
    <w:rsid w:val="00C13CCC"/>
    <w:rsid w:val="00C14417"/>
    <w:rsid w:val="00C16509"/>
    <w:rsid w:val="00C16610"/>
    <w:rsid w:val="00C17030"/>
    <w:rsid w:val="00C20872"/>
    <w:rsid w:val="00C2180C"/>
    <w:rsid w:val="00C21A3F"/>
    <w:rsid w:val="00C2228C"/>
    <w:rsid w:val="00C231C4"/>
    <w:rsid w:val="00C23735"/>
    <w:rsid w:val="00C24392"/>
    <w:rsid w:val="00C247A5"/>
    <w:rsid w:val="00C24872"/>
    <w:rsid w:val="00C2487A"/>
    <w:rsid w:val="00C24BF2"/>
    <w:rsid w:val="00C252DB"/>
    <w:rsid w:val="00C260A3"/>
    <w:rsid w:val="00C3045B"/>
    <w:rsid w:val="00C3148F"/>
    <w:rsid w:val="00C31660"/>
    <w:rsid w:val="00C31C03"/>
    <w:rsid w:val="00C323E1"/>
    <w:rsid w:val="00C343CB"/>
    <w:rsid w:val="00C364BC"/>
    <w:rsid w:val="00C366CC"/>
    <w:rsid w:val="00C36774"/>
    <w:rsid w:val="00C36C06"/>
    <w:rsid w:val="00C37C24"/>
    <w:rsid w:val="00C37FAF"/>
    <w:rsid w:val="00C40746"/>
    <w:rsid w:val="00C41E0F"/>
    <w:rsid w:val="00C44189"/>
    <w:rsid w:val="00C4561D"/>
    <w:rsid w:val="00C461A5"/>
    <w:rsid w:val="00C46368"/>
    <w:rsid w:val="00C4669C"/>
    <w:rsid w:val="00C47530"/>
    <w:rsid w:val="00C507ED"/>
    <w:rsid w:val="00C51A6C"/>
    <w:rsid w:val="00C5281C"/>
    <w:rsid w:val="00C52A0F"/>
    <w:rsid w:val="00C54E95"/>
    <w:rsid w:val="00C551A7"/>
    <w:rsid w:val="00C560ED"/>
    <w:rsid w:val="00C6094E"/>
    <w:rsid w:val="00C615B2"/>
    <w:rsid w:val="00C6174A"/>
    <w:rsid w:val="00C61D2C"/>
    <w:rsid w:val="00C61E65"/>
    <w:rsid w:val="00C62D1E"/>
    <w:rsid w:val="00C64B92"/>
    <w:rsid w:val="00C6544E"/>
    <w:rsid w:val="00C65B4F"/>
    <w:rsid w:val="00C66357"/>
    <w:rsid w:val="00C700C9"/>
    <w:rsid w:val="00C70FFD"/>
    <w:rsid w:val="00C72475"/>
    <w:rsid w:val="00C72BBF"/>
    <w:rsid w:val="00C72C9B"/>
    <w:rsid w:val="00C733D8"/>
    <w:rsid w:val="00C73639"/>
    <w:rsid w:val="00C736AF"/>
    <w:rsid w:val="00C74274"/>
    <w:rsid w:val="00C749E9"/>
    <w:rsid w:val="00C74E85"/>
    <w:rsid w:val="00C757F6"/>
    <w:rsid w:val="00C75D00"/>
    <w:rsid w:val="00C76281"/>
    <w:rsid w:val="00C76C17"/>
    <w:rsid w:val="00C775B4"/>
    <w:rsid w:val="00C80B7F"/>
    <w:rsid w:val="00C80D10"/>
    <w:rsid w:val="00C82422"/>
    <w:rsid w:val="00C82975"/>
    <w:rsid w:val="00C84004"/>
    <w:rsid w:val="00C8596C"/>
    <w:rsid w:val="00C8618D"/>
    <w:rsid w:val="00C86292"/>
    <w:rsid w:val="00C914F1"/>
    <w:rsid w:val="00C918EC"/>
    <w:rsid w:val="00C926C7"/>
    <w:rsid w:val="00C9296D"/>
    <w:rsid w:val="00C94AA2"/>
    <w:rsid w:val="00C94F0D"/>
    <w:rsid w:val="00C95142"/>
    <w:rsid w:val="00C954FF"/>
    <w:rsid w:val="00C9696D"/>
    <w:rsid w:val="00C96B06"/>
    <w:rsid w:val="00CA1008"/>
    <w:rsid w:val="00CA10A1"/>
    <w:rsid w:val="00CA44DF"/>
    <w:rsid w:val="00CA5421"/>
    <w:rsid w:val="00CA5DA3"/>
    <w:rsid w:val="00CA5EDC"/>
    <w:rsid w:val="00CA6861"/>
    <w:rsid w:val="00CA6AE2"/>
    <w:rsid w:val="00CA777C"/>
    <w:rsid w:val="00CB0A68"/>
    <w:rsid w:val="00CB0D50"/>
    <w:rsid w:val="00CB12F1"/>
    <w:rsid w:val="00CB130F"/>
    <w:rsid w:val="00CB14C5"/>
    <w:rsid w:val="00CB1AC9"/>
    <w:rsid w:val="00CB44E6"/>
    <w:rsid w:val="00CB4577"/>
    <w:rsid w:val="00CB4E95"/>
    <w:rsid w:val="00CB539B"/>
    <w:rsid w:val="00CB555F"/>
    <w:rsid w:val="00CB5AB9"/>
    <w:rsid w:val="00CB5EDC"/>
    <w:rsid w:val="00CB658A"/>
    <w:rsid w:val="00CB72CE"/>
    <w:rsid w:val="00CB7C0D"/>
    <w:rsid w:val="00CC176C"/>
    <w:rsid w:val="00CC18B9"/>
    <w:rsid w:val="00CC2084"/>
    <w:rsid w:val="00CC3767"/>
    <w:rsid w:val="00CC450B"/>
    <w:rsid w:val="00CC4B22"/>
    <w:rsid w:val="00CD0395"/>
    <w:rsid w:val="00CD0B87"/>
    <w:rsid w:val="00CD0D35"/>
    <w:rsid w:val="00CD5045"/>
    <w:rsid w:val="00CD61E0"/>
    <w:rsid w:val="00CD61E2"/>
    <w:rsid w:val="00CD72D3"/>
    <w:rsid w:val="00CE05AD"/>
    <w:rsid w:val="00CE1F3A"/>
    <w:rsid w:val="00CE2114"/>
    <w:rsid w:val="00CE3820"/>
    <w:rsid w:val="00CE5800"/>
    <w:rsid w:val="00CE6127"/>
    <w:rsid w:val="00CE6A91"/>
    <w:rsid w:val="00CE76BA"/>
    <w:rsid w:val="00CE7807"/>
    <w:rsid w:val="00CE799B"/>
    <w:rsid w:val="00CE7C9E"/>
    <w:rsid w:val="00CF0008"/>
    <w:rsid w:val="00CF1CBC"/>
    <w:rsid w:val="00CF22F4"/>
    <w:rsid w:val="00CF35C0"/>
    <w:rsid w:val="00CF3CCA"/>
    <w:rsid w:val="00CF4F89"/>
    <w:rsid w:val="00CF50E9"/>
    <w:rsid w:val="00CF5E35"/>
    <w:rsid w:val="00CF75EF"/>
    <w:rsid w:val="00D006BB"/>
    <w:rsid w:val="00D02FD5"/>
    <w:rsid w:val="00D033B3"/>
    <w:rsid w:val="00D035A4"/>
    <w:rsid w:val="00D03F73"/>
    <w:rsid w:val="00D044B6"/>
    <w:rsid w:val="00D0451C"/>
    <w:rsid w:val="00D052C8"/>
    <w:rsid w:val="00D1029D"/>
    <w:rsid w:val="00D11582"/>
    <w:rsid w:val="00D11A4B"/>
    <w:rsid w:val="00D128FF"/>
    <w:rsid w:val="00D133F1"/>
    <w:rsid w:val="00D138CD"/>
    <w:rsid w:val="00D13EC5"/>
    <w:rsid w:val="00D165BA"/>
    <w:rsid w:val="00D16605"/>
    <w:rsid w:val="00D171DB"/>
    <w:rsid w:val="00D177E0"/>
    <w:rsid w:val="00D17C8D"/>
    <w:rsid w:val="00D2008F"/>
    <w:rsid w:val="00D2047C"/>
    <w:rsid w:val="00D21070"/>
    <w:rsid w:val="00D21579"/>
    <w:rsid w:val="00D2283E"/>
    <w:rsid w:val="00D22927"/>
    <w:rsid w:val="00D2368D"/>
    <w:rsid w:val="00D23AB4"/>
    <w:rsid w:val="00D24BA3"/>
    <w:rsid w:val="00D24C40"/>
    <w:rsid w:val="00D259A6"/>
    <w:rsid w:val="00D25BB2"/>
    <w:rsid w:val="00D26469"/>
    <w:rsid w:val="00D2741F"/>
    <w:rsid w:val="00D3049E"/>
    <w:rsid w:val="00D306D8"/>
    <w:rsid w:val="00D30BBA"/>
    <w:rsid w:val="00D311E6"/>
    <w:rsid w:val="00D31555"/>
    <w:rsid w:val="00D3174D"/>
    <w:rsid w:val="00D33A25"/>
    <w:rsid w:val="00D34055"/>
    <w:rsid w:val="00D345CF"/>
    <w:rsid w:val="00D35C10"/>
    <w:rsid w:val="00D363DB"/>
    <w:rsid w:val="00D41C15"/>
    <w:rsid w:val="00D42863"/>
    <w:rsid w:val="00D42AB2"/>
    <w:rsid w:val="00D430A5"/>
    <w:rsid w:val="00D4315E"/>
    <w:rsid w:val="00D43177"/>
    <w:rsid w:val="00D43A69"/>
    <w:rsid w:val="00D43B77"/>
    <w:rsid w:val="00D44D86"/>
    <w:rsid w:val="00D455D0"/>
    <w:rsid w:val="00D462F4"/>
    <w:rsid w:val="00D47A09"/>
    <w:rsid w:val="00D50E8A"/>
    <w:rsid w:val="00D528FC"/>
    <w:rsid w:val="00D52EE0"/>
    <w:rsid w:val="00D537F8"/>
    <w:rsid w:val="00D5446D"/>
    <w:rsid w:val="00D55ED8"/>
    <w:rsid w:val="00D56966"/>
    <w:rsid w:val="00D570D4"/>
    <w:rsid w:val="00D601FB"/>
    <w:rsid w:val="00D612ED"/>
    <w:rsid w:val="00D6145E"/>
    <w:rsid w:val="00D6221F"/>
    <w:rsid w:val="00D6276F"/>
    <w:rsid w:val="00D63B27"/>
    <w:rsid w:val="00D63E57"/>
    <w:rsid w:val="00D6594C"/>
    <w:rsid w:val="00D66205"/>
    <w:rsid w:val="00D66CBF"/>
    <w:rsid w:val="00D67E5A"/>
    <w:rsid w:val="00D67E79"/>
    <w:rsid w:val="00D7050A"/>
    <w:rsid w:val="00D7059F"/>
    <w:rsid w:val="00D70EF0"/>
    <w:rsid w:val="00D72809"/>
    <w:rsid w:val="00D730FC"/>
    <w:rsid w:val="00D73C71"/>
    <w:rsid w:val="00D7456A"/>
    <w:rsid w:val="00D759BE"/>
    <w:rsid w:val="00D75D9B"/>
    <w:rsid w:val="00D75F88"/>
    <w:rsid w:val="00D77A58"/>
    <w:rsid w:val="00D820A3"/>
    <w:rsid w:val="00D82153"/>
    <w:rsid w:val="00D8249B"/>
    <w:rsid w:val="00D832EB"/>
    <w:rsid w:val="00D835A5"/>
    <w:rsid w:val="00D8454A"/>
    <w:rsid w:val="00D84857"/>
    <w:rsid w:val="00D84A1C"/>
    <w:rsid w:val="00D858CE"/>
    <w:rsid w:val="00D86660"/>
    <w:rsid w:val="00D8688D"/>
    <w:rsid w:val="00D902C2"/>
    <w:rsid w:val="00D90A07"/>
    <w:rsid w:val="00D910CB"/>
    <w:rsid w:val="00D91349"/>
    <w:rsid w:val="00D91E3F"/>
    <w:rsid w:val="00D92362"/>
    <w:rsid w:val="00D92EBB"/>
    <w:rsid w:val="00D93604"/>
    <w:rsid w:val="00D93BF3"/>
    <w:rsid w:val="00D93C22"/>
    <w:rsid w:val="00D94266"/>
    <w:rsid w:val="00D956BE"/>
    <w:rsid w:val="00D957D1"/>
    <w:rsid w:val="00D96DCC"/>
    <w:rsid w:val="00D96FC3"/>
    <w:rsid w:val="00D973B9"/>
    <w:rsid w:val="00D9757A"/>
    <w:rsid w:val="00DA0029"/>
    <w:rsid w:val="00DA03F5"/>
    <w:rsid w:val="00DA113D"/>
    <w:rsid w:val="00DA2D2B"/>
    <w:rsid w:val="00DA465D"/>
    <w:rsid w:val="00DA4887"/>
    <w:rsid w:val="00DA48F9"/>
    <w:rsid w:val="00DA550D"/>
    <w:rsid w:val="00DA5798"/>
    <w:rsid w:val="00DA609B"/>
    <w:rsid w:val="00DA6AA6"/>
    <w:rsid w:val="00DA6D5E"/>
    <w:rsid w:val="00DA7E41"/>
    <w:rsid w:val="00DB108D"/>
    <w:rsid w:val="00DB254F"/>
    <w:rsid w:val="00DB33BE"/>
    <w:rsid w:val="00DB3650"/>
    <w:rsid w:val="00DB389A"/>
    <w:rsid w:val="00DB3F89"/>
    <w:rsid w:val="00DB42E4"/>
    <w:rsid w:val="00DB455C"/>
    <w:rsid w:val="00DB4909"/>
    <w:rsid w:val="00DB5729"/>
    <w:rsid w:val="00DB6DE0"/>
    <w:rsid w:val="00DB7F6A"/>
    <w:rsid w:val="00DC1180"/>
    <w:rsid w:val="00DC1251"/>
    <w:rsid w:val="00DC1988"/>
    <w:rsid w:val="00DC2B03"/>
    <w:rsid w:val="00DC3626"/>
    <w:rsid w:val="00DC373A"/>
    <w:rsid w:val="00DC4FDB"/>
    <w:rsid w:val="00DC518C"/>
    <w:rsid w:val="00DC51C2"/>
    <w:rsid w:val="00DC5C06"/>
    <w:rsid w:val="00DC780E"/>
    <w:rsid w:val="00DD05E6"/>
    <w:rsid w:val="00DD0BB8"/>
    <w:rsid w:val="00DD14A4"/>
    <w:rsid w:val="00DD1DA4"/>
    <w:rsid w:val="00DD3201"/>
    <w:rsid w:val="00DD4569"/>
    <w:rsid w:val="00DD65B2"/>
    <w:rsid w:val="00DD7516"/>
    <w:rsid w:val="00DD7F22"/>
    <w:rsid w:val="00DD7F5B"/>
    <w:rsid w:val="00DE0030"/>
    <w:rsid w:val="00DE0954"/>
    <w:rsid w:val="00DE1124"/>
    <w:rsid w:val="00DE3C07"/>
    <w:rsid w:val="00DE4061"/>
    <w:rsid w:val="00DE4BF2"/>
    <w:rsid w:val="00DE5B99"/>
    <w:rsid w:val="00DE5E9A"/>
    <w:rsid w:val="00DE7F5F"/>
    <w:rsid w:val="00DE7F83"/>
    <w:rsid w:val="00DF01F0"/>
    <w:rsid w:val="00DF1A75"/>
    <w:rsid w:val="00DF1BB3"/>
    <w:rsid w:val="00DF4811"/>
    <w:rsid w:val="00DF4CF6"/>
    <w:rsid w:val="00DF5EBB"/>
    <w:rsid w:val="00E001ED"/>
    <w:rsid w:val="00E016D5"/>
    <w:rsid w:val="00E021D8"/>
    <w:rsid w:val="00E022E1"/>
    <w:rsid w:val="00E02B9B"/>
    <w:rsid w:val="00E02CAD"/>
    <w:rsid w:val="00E03781"/>
    <w:rsid w:val="00E042D1"/>
    <w:rsid w:val="00E057AF"/>
    <w:rsid w:val="00E05943"/>
    <w:rsid w:val="00E06B46"/>
    <w:rsid w:val="00E070CF"/>
    <w:rsid w:val="00E07141"/>
    <w:rsid w:val="00E115F5"/>
    <w:rsid w:val="00E11677"/>
    <w:rsid w:val="00E12AD4"/>
    <w:rsid w:val="00E156F3"/>
    <w:rsid w:val="00E16433"/>
    <w:rsid w:val="00E16F90"/>
    <w:rsid w:val="00E174B8"/>
    <w:rsid w:val="00E17A5D"/>
    <w:rsid w:val="00E17F19"/>
    <w:rsid w:val="00E22601"/>
    <w:rsid w:val="00E2781F"/>
    <w:rsid w:val="00E31F13"/>
    <w:rsid w:val="00E3296F"/>
    <w:rsid w:val="00E3298A"/>
    <w:rsid w:val="00E32B94"/>
    <w:rsid w:val="00E334E8"/>
    <w:rsid w:val="00E34F4C"/>
    <w:rsid w:val="00E36BBE"/>
    <w:rsid w:val="00E375DC"/>
    <w:rsid w:val="00E4116C"/>
    <w:rsid w:val="00E43B3B"/>
    <w:rsid w:val="00E43E86"/>
    <w:rsid w:val="00E45341"/>
    <w:rsid w:val="00E45CB8"/>
    <w:rsid w:val="00E45CD8"/>
    <w:rsid w:val="00E461ED"/>
    <w:rsid w:val="00E46646"/>
    <w:rsid w:val="00E46D5C"/>
    <w:rsid w:val="00E478C8"/>
    <w:rsid w:val="00E47E6B"/>
    <w:rsid w:val="00E51518"/>
    <w:rsid w:val="00E51DAC"/>
    <w:rsid w:val="00E51EF1"/>
    <w:rsid w:val="00E5251F"/>
    <w:rsid w:val="00E5601E"/>
    <w:rsid w:val="00E57F00"/>
    <w:rsid w:val="00E63F41"/>
    <w:rsid w:val="00E63F50"/>
    <w:rsid w:val="00E65F94"/>
    <w:rsid w:val="00E666C6"/>
    <w:rsid w:val="00E6736D"/>
    <w:rsid w:val="00E70C0E"/>
    <w:rsid w:val="00E70FD3"/>
    <w:rsid w:val="00E7226B"/>
    <w:rsid w:val="00E7269D"/>
    <w:rsid w:val="00E72792"/>
    <w:rsid w:val="00E72B8D"/>
    <w:rsid w:val="00E733E7"/>
    <w:rsid w:val="00E73830"/>
    <w:rsid w:val="00E73CE8"/>
    <w:rsid w:val="00E743B0"/>
    <w:rsid w:val="00E76CF6"/>
    <w:rsid w:val="00E80716"/>
    <w:rsid w:val="00E81794"/>
    <w:rsid w:val="00E81F3D"/>
    <w:rsid w:val="00E828C2"/>
    <w:rsid w:val="00E839F0"/>
    <w:rsid w:val="00E849B9"/>
    <w:rsid w:val="00E85794"/>
    <w:rsid w:val="00E85ABC"/>
    <w:rsid w:val="00E86A3B"/>
    <w:rsid w:val="00E86AAE"/>
    <w:rsid w:val="00E86F7F"/>
    <w:rsid w:val="00E87470"/>
    <w:rsid w:val="00E87538"/>
    <w:rsid w:val="00E87DE2"/>
    <w:rsid w:val="00E900D6"/>
    <w:rsid w:val="00E90752"/>
    <w:rsid w:val="00E9087C"/>
    <w:rsid w:val="00E91354"/>
    <w:rsid w:val="00E91AAE"/>
    <w:rsid w:val="00E92873"/>
    <w:rsid w:val="00E9288F"/>
    <w:rsid w:val="00E932AA"/>
    <w:rsid w:val="00E958A4"/>
    <w:rsid w:val="00E96186"/>
    <w:rsid w:val="00E96555"/>
    <w:rsid w:val="00E97ED3"/>
    <w:rsid w:val="00EA0CFD"/>
    <w:rsid w:val="00EA2357"/>
    <w:rsid w:val="00EA335A"/>
    <w:rsid w:val="00EA4350"/>
    <w:rsid w:val="00EA6CE0"/>
    <w:rsid w:val="00EA6E88"/>
    <w:rsid w:val="00EA7351"/>
    <w:rsid w:val="00EA73A3"/>
    <w:rsid w:val="00EB0C73"/>
    <w:rsid w:val="00EB0F96"/>
    <w:rsid w:val="00EB24DA"/>
    <w:rsid w:val="00EB291F"/>
    <w:rsid w:val="00EB2A52"/>
    <w:rsid w:val="00EB4E71"/>
    <w:rsid w:val="00EB609D"/>
    <w:rsid w:val="00EB712C"/>
    <w:rsid w:val="00EB7D06"/>
    <w:rsid w:val="00EB7D43"/>
    <w:rsid w:val="00EC0897"/>
    <w:rsid w:val="00EC350A"/>
    <w:rsid w:val="00EC5DE3"/>
    <w:rsid w:val="00EC6BC5"/>
    <w:rsid w:val="00EC6C01"/>
    <w:rsid w:val="00EC6EAA"/>
    <w:rsid w:val="00EC76D4"/>
    <w:rsid w:val="00ED2738"/>
    <w:rsid w:val="00ED27DA"/>
    <w:rsid w:val="00ED3581"/>
    <w:rsid w:val="00ED3F6A"/>
    <w:rsid w:val="00ED4644"/>
    <w:rsid w:val="00ED4AB9"/>
    <w:rsid w:val="00ED526D"/>
    <w:rsid w:val="00ED622F"/>
    <w:rsid w:val="00ED7775"/>
    <w:rsid w:val="00ED7F1A"/>
    <w:rsid w:val="00EE0461"/>
    <w:rsid w:val="00EE1199"/>
    <w:rsid w:val="00EE1477"/>
    <w:rsid w:val="00EE1948"/>
    <w:rsid w:val="00EE20DA"/>
    <w:rsid w:val="00EE4052"/>
    <w:rsid w:val="00EE46C4"/>
    <w:rsid w:val="00EE489A"/>
    <w:rsid w:val="00EE4933"/>
    <w:rsid w:val="00EE4974"/>
    <w:rsid w:val="00EE56AF"/>
    <w:rsid w:val="00EE5888"/>
    <w:rsid w:val="00EE64A6"/>
    <w:rsid w:val="00EE6993"/>
    <w:rsid w:val="00EE764D"/>
    <w:rsid w:val="00EE7794"/>
    <w:rsid w:val="00EE7A8E"/>
    <w:rsid w:val="00EE7AEB"/>
    <w:rsid w:val="00EE7E5F"/>
    <w:rsid w:val="00EF09A6"/>
    <w:rsid w:val="00EF1B06"/>
    <w:rsid w:val="00EF1B6D"/>
    <w:rsid w:val="00EF268A"/>
    <w:rsid w:val="00EF2BE8"/>
    <w:rsid w:val="00EF2F64"/>
    <w:rsid w:val="00EF3443"/>
    <w:rsid w:val="00EF45F1"/>
    <w:rsid w:val="00EF4D59"/>
    <w:rsid w:val="00EF4EDA"/>
    <w:rsid w:val="00EF540A"/>
    <w:rsid w:val="00EF558C"/>
    <w:rsid w:val="00EF734A"/>
    <w:rsid w:val="00EF7E03"/>
    <w:rsid w:val="00F012F2"/>
    <w:rsid w:val="00F02060"/>
    <w:rsid w:val="00F0261F"/>
    <w:rsid w:val="00F03B1A"/>
    <w:rsid w:val="00F04FD8"/>
    <w:rsid w:val="00F052B7"/>
    <w:rsid w:val="00F05DA0"/>
    <w:rsid w:val="00F07609"/>
    <w:rsid w:val="00F07F43"/>
    <w:rsid w:val="00F106A9"/>
    <w:rsid w:val="00F11305"/>
    <w:rsid w:val="00F11930"/>
    <w:rsid w:val="00F1300E"/>
    <w:rsid w:val="00F13B3C"/>
    <w:rsid w:val="00F1417E"/>
    <w:rsid w:val="00F14A41"/>
    <w:rsid w:val="00F1588E"/>
    <w:rsid w:val="00F15EA2"/>
    <w:rsid w:val="00F16217"/>
    <w:rsid w:val="00F17049"/>
    <w:rsid w:val="00F170C2"/>
    <w:rsid w:val="00F17346"/>
    <w:rsid w:val="00F179F3"/>
    <w:rsid w:val="00F17D12"/>
    <w:rsid w:val="00F17E3E"/>
    <w:rsid w:val="00F20321"/>
    <w:rsid w:val="00F220A0"/>
    <w:rsid w:val="00F223B8"/>
    <w:rsid w:val="00F233FC"/>
    <w:rsid w:val="00F237E4"/>
    <w:rsid w:val="00F239A8"/>
    <w:rsid w:val="00F2522B"/>
    <w:rsid w:val="00F2553E"/>
    <w:rsid w:val="00F26085"/>
    <w:rsid w:val="00F2757E"/>
    <w:rsid w:val="00F320B3"/>
    <w:rsid w:val="00F3330A"/>
    <w:rsid w:val="00F336FC"/>
    <w:rsid w:val="00F33C16"/>
    <w:rsid w:val="00F35943"/>
    <w:rsid w:val="00F36305"/>
    <w:rsid w:val="00F36630"/>
    <w:rsid w:val="00F366A0"/>
    <w:rsid w:val="00F3709A"/>
    <w:rsid w:val="00F378EB"/>
    <w:rsid w:val="00F41134"/>
    <w:rsid w:val="00F422C1"/>
    <w:rsid w:val="00F438B6"/>
    <w:rsid w:val="00F43DA4"/>
    <w:rsid w:val="00F43DEA"/>
    <w:rsid w:val="00F43E13"/>
    <w:rsid w:val="00F44AF2"/>
    <w:rsid w:val="00F4521D"/>
    <w:rsid w:val="00F45448"/>
    <w:rsid w:val="00F45FE8"/>
    <w:rsid w:val="00F46B4A"/>
    <w:rsid w:val="00F500C1"/>
    <w:rsid w:val="00F5063C"/>
    <w:rsid w:val="00F52609"/>
    <w:rsid w:val="00F52782"/>
    <w:rsid w:val="00F53908"/>
    <w:rsid w:val="00F54CF9"/>
    <w:rsid w:val="00F55206"/>
    <w:rsid w:val="00F561B0"/>
    <w:rsid w:val="00F56294"/>
    <w:rsid w:val="00F563A5"/>
    <w:rsid w:val="00F5665B"/>
    <w:rsid w:val="00F576C4"/>
    <w:rsid w:val="00F61C2A"/>
    <w:rsid w:val="00F6219C"/>
    <w:rsid w:val="00F6444F"/>
    <w:rsid w:val="00F6526B"/>
    <w:rsid w:val="00F6598E"/>
    <w:rsid w:val="00F66DEC"/>
    <w:rsid w:val="00F67316"/>
    <w:rsid w:val="00F70345"/>
    <w:rsid w:val="00F71891"/>
    <w:rsid w:val="00F71EA0"/>
    <w:rsid w:val="00F72060"/>
    <w:rsid w:val="00F7295D"/>
    <w:rsid w:val="00F72985"/>
    <w:rsid w:val="00F731D0"/>
    <w:rsid w:val="00F74A98"/>
    <w:rsid w:val="00F75326"/>
    <w:rsid w:val="00F75C98"/>
    <w:rsid w:val="00F75F47"/>
    <w:rsid w:val="00F7680D"/>
    <w:rsid w:val="00F77988"/>
    <w:rsid w:val="00F80A87"/>
    <w:rsid w:val="00F80CA8"/>
    <w:rsid w:val="00F81BD9"/>
    <w:rsid w:val="00F82644"/>
    <w:rsid w:val="00F8422E"/>
    <w:rsid w:val="00F86A1F"/>
    <w:rsid w:val="00F870A0"/>
    <w:rsid w:val="00F875E6"/>
    <w:rsid w:val="00F87C79"/>
    <w:rsid w:val="00F87EF0"/>
    <w:rsid w:val="00F90544"/>
    <w:rsid w:val="00F90677"/>
    <w:rsid w:val="00F90F74"/>
    <w:rsid w:val="00F9176C"/>
    <w:rsid w:val="00F91A0C"/>
    <w:rsid w:val="00F92128"/>
    <w:rsid w:val="00F924B1"/>
    <w:rsid w:val="00F93C3E"/>
    <w:rsid w:val="00F94067"/>
    <w:rsid w:val="00F94410"/>
    <w:rsid w:val="00F95369"/>
    <w:rsid w:val="00F9574E"/>
    <w:rsid w:val="00F961B0"/>
    <w:rsid w:val="00FA3DCC"/>
    <w:rsid w:val="00FA6C21"/>
    <w:rsid w:val="00FB12BE"/>
    <w:rsid w:val="00FB18C7"/>
    <w:rsid w:val="00FB18F6"/>
    <w:rsid w:val="00FB1F4E"/>
    <w:rsid w:val="00FB236D"/>
    <w:rsid w:val="00FB389E"/>
    <w:rsid w:val="00FB42EF"/>
    <w:rsid w:val="00FB4C82"/>
    <w:rsid w:val="00FB4CCF"/>
    <w:rsid w:val="00FB62E8"/>
    <w:rsid w:val="00FB6B3C"/>
    <w:rsid w:val="00FC01CA"/>
    <w:rsid w:val="00FC02F8"/>
    <w:rsid w:val="00FC0A03"/>
    <w:rsid w:val="00FC0A85"/>
    <w:rsid w:val="00FC13B6"/>
    <w:rsid w:val="00FC19BB"/>
    <w:rsid w:val="00FC2003"/>
    <w:rsid w:val="00FC2264"/>
    <w:rsid w:val="00FC2CD6"/>
    <w:rsid w:val="00FC373A"/>
    <w:rsid w:val="00FC3B29"/>
    <w:rsid w:val="00FC411E"/>
    <w:rsid w:val="00FC4CE5"/>
    <w:rsid w:val="00FC5103"/>
    <w:rsid w:val="00FC6419"/>
    <w:rsid w:val="00FC6B87"/>
    <w:rsid w:val="00FC7EFF"/>
    <w:rsid w:val="00FD0C78"/>
    <w:rsid w:val="00FD23C3"/>
    <w:rsid w:val="00FD2F6D"/>
    <w:rsid w:val="00FD502F"/>
    <w:rsid w:val="00FD5BF8"/>
    <w:rsid w:val="00FD5CAC"/>
    <w:rsid w:val="00FD704E"/>
    <w:rsid w:val="00FD75D4"/>
    <w:rsid w:val="00FD7963"/>
    <w:rsid w:val="00FE08EE"/>
    <w:rsid w:val="00FE12E7"/>
    <w:rsid w:val="00FE16A9"/>
    <w:rsid w:val="00FE26AA"/>
    <w:rsid w:val="00FE415C"/>
    <w:rsid w:val="00FE4638"/>
    <w:rsid w:val="00FE5E63"/>
    <w:rsid w:val="00FE5F55"/>
    <w:rsid w:val="00FE735F"/>
    <w:rsid w:val="00FE7A88"/>
    <w:rsid w:val="00FE7DCE"/>
    <w:rsid w:val="00FF000C"/>
    <w:rsid w:val="00FF010A"/>
    <w:rsid w:val="00FF0223"/>
    <w:rsid w:val="00FF0B43"/>
    <w:rsid w:val="00FF0E16"/>
    <w:rsid w:val="00FF1097"/>
    <w:rsid w:val="00FF2150"/>
    <w:rsid w:val="00FF237F"/>
    <w:rsid w:val="00FF2604"/>
    <w:rsid w:val="00FF2C7B"/>
    <w:rsid w:val="00FF3124"/>
    <w:rsid w:val="00FF3B52"/>
    <w:rsid w:val="00FF3BFB"/>
    <w:rsid w:val="00FF3F74"/>
    <w:rsid w:val="00FF456F"/>
    <w:rsid w:val="00FF5103"/>
    <w:rsid w:val="00FF5218"/>
    <w:rsid w:val="00FF5D8A"/>
    <w:rsid w:val="00FF74C3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2447D"/>
  <w15:chartTrackingRefBased/>
  <w15:docId w15:val="{C1B69853-A942-4B69-87F3-20CF80E6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66A"/>
    <w:rPr>
      <w:rFonts w:eastAsia="SimSun"/>
      <w:lang w:val="en-GB"/>
    </w:rPr>
  </w:style>
  <w:style w:type="paragraph" w:styleId="Heading1">
    <w:name w:val="heading 1"/>
    <w:basedOn w:val="Normal"/>
    <w:next w:val="Normal"/>
    <w:link w:val="Heading1Char"/>
    <w:qFormat/>
    <w:rsid w:val="009A4B5F"/>
    <w:pPr>
      <w:keepNext/>
      <w:numPr>
        <w:numId w:val="5"/>
      </w:numPr>
      <w:spacing w:after="240"/>
      <w:ind w:right="284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9A4B5F"/>
    <w:pPr>
      <w:keepNext/>
      <w:numPr>
        <w:ilvl w:val="1"/>
        <w:numId w:val="5"/>
      </w:numPr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9A4B5F"/>
    <w:pPr>
      <w:keepNext/>
      <w:numPr>
        <w:ilvl w:val="2"/>
        <w:numId w:val="5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9A4B5F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A4B5F"/>
    <w:pPr>
      <w:keepNext/>
      <w:numPr>
        <w:ilvl w:val="4"/>
        <w:numId w:val="5"/>
      </w:numPr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9A4B5F"/>
    <w:pPr>
      <w:keepNext/>
      <w:numPr>
        <w:ilvl w:val="5"/>
        <w:numId w:val="5"/>
      </w:numPr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link w:val="Heading7Char"/>
    <w:qFormat/>
    <w:rsid w:val="009A4B5F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A4B5F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A4B5F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A4B5F"/>
    <w:rPr>
      <w:rFonts w:ascii="Arial" w:hAnsi="Arial"/>
      <w:b/>
      <w:sz w:val="24"/>
      <w:lang w:val="en-GB"/>
    </w:rPr>
  </w:style>
  <w:style w:type="character" w:customStyle="1" w:styleId="Heading2Char">
    <w:name w:val="Heading 2 Char"/>
    <w:link w:val="Heading2"/>
    <w:rsid w:val="009A4B5F"/>
    <w:rPr>
      <w:rFonts w:ascii="Arial" w:hAnsi="Arial"/>
      <w:b/>
      <w:sz w:val="24"/>
      <w:lang w:val="en-GB"/>
    </w:rPr>
  </w:style>
  <w:style w:type="character" w:customStyle="1" w:styleId="Heading3Char">
    <w:name w:val="Heading 3 Char"/>
    <w:link w:val="Heading3"/>
    <w:rsid w:val="009A4B5F"/>
    <w:rPr>
      <w:sz w:val="24"/>
      <w:lang w:val="en-GB"/>
    </w:rPr>
  </w:style>
  <w:style w:type="character" w:customStyle="1" w:styleId="Heading4Char">
    <w:name w:val="Heading 4 Char"/>
    <w:link w:val="Heading4"/>
    <w:rsid w:val="009A4B5F"/>
    <w:rPr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rsid w:val="009A4B5F"/>
    <w:rPr>
      <w:rFonts w:ascii="Arial" w:hAnsi="Arial"/>
      <w:b/>
      <w:sz w:val="24"/>
      <w:lang w:val="en-GB"/>
    </w:rPr>
  </w:style>
  <w:style w:type="character" w:customStyle="1" w:styleId="Heading6Char">
    <w:name w:val="Heading 6 Char"/>
    <w:link w:val="Heading6"/>
    <w:rsid w:val="009A4B5F"/>
    <w:rPr>
      <w:rFonts w:ascii="Arial" w:hAnsi="Arial"/>
      <w:b/>
      <w:color w:val="C0C0C0"/>
      <w:sz w:val="24"/>
      <w:lang w:val="en-GB"/>
    </w:rPr>
  </w:style>
  <w:style w:type="character" w:customStyle="1" w:styleId="Heading7Char">
    <w:name w:val="Heading 7 Char"/>
    <w:link w:val="Heading7"/>
    <w:rsid w:val="009A4B5F"/>
    <w:rPr>
      <w:sz w:val="24"/>
      <w:szCs w:val="24"/>
      <w:lang w:val="en-GB"/>
    </w:rPr>
  </w:style>
  <w:style w:type="character" w:customStyle="1" w:styleId="Heading8Char">
    <w:name w:val="Heading 8 Char"/>
    <w:link w:val="Heading8"/>
    <w:rsid w:val="009A4B5F"/>
    <w:rPr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rsid w:val="009A4B5F"/>
    <w:rPr>
      <w:rFonts w:ascii="Arial" w:hAnsi="Arial" w:cs="Arial"/>
      <w:sz w:val="22"/>
      <w:szCs w:val="22"/>
      <w:lang w:val="en-GB"/>
    </w:rPr>
  </w:style>
  <w:style w:type="paragraph" w:styleId="Caption">
    <w:name w:val="caption"/>
    <w:basedOn w:val="Normal"/>
    <w:next w:val="Normal"/>
    <w:qFormat/>
    <w:rsid w:val="009A4B5F"/>
    <w:pPr>
      <w:spacing w:before="120" w:after="240"/>
    </w:pPr>
    <w:rPr>
      <w:b/>
      <w:bCs/>
      <w:sz w:val="21"/>
      <w:szCs w:val="21"/>
    </w:rPr>
  </w:style>
  <w:style w:type="character" w:styleId="Emphasis">
    <w:name w:val="Emphasis"/>
    <w:qFormat/>
    <w:rsid w:val="009A4B5F"/>
    <w:rPr>
      <w:i/>
      <w:iCs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rsid w:val="0081266A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81266A"/>
    <w:rPr>
      <w:rFonts w:eastAsia="SimSun"/>
      <w:lang w:val="en-GB"/>
    </w:rPr>
  </w:style>
  <w:style w:type="paragraph" w:customStyle="1" w:styleId="2">
    <w:name w:val="(文字) (文字)2"/>
    <w:semiHidden/>
    <w:rsid w:val="00487CE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1">
    <w:name w:val="Char Char Char Char1"/>
    <w:semiHidden/>
    <w:rsid w:val="00CB44E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6151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61519"/>
    <w:rPr>
      <w:rFonts w:ascii="Tahoma" w:eastAsia="SimSun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031F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F9C"/>
  </w:style>
  <w:style w:type="character" w:customStyle="1" w:styleId="CommentTextChar">
    <w:name w:val="Comment Text Char"/>
    <w:link w:val="CommentText"/>
    <w:uiPriority w:val="99"/>
    <w:semiHidden/>
    <w:rsid w:val="00031F9C"/>
    <w:rPr>
      <w:rFonts w:eastAsia="SimSu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F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1F9C"/>
    <w:rPr>
      <w:rFonts w:eastAsia="SimSu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1F9C"/>
    <w:rPr>
      <w:rFonts w:ascii="Tahoma" w:eastAsia="SimSu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80C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0CA8"/>
    <w:rPr>
      <w:rFonts w:eastAsia="SimSun"/>
      <w:lang w:val="en-GB"/>
    </w:rPr>
  </w:style>
  <w:style w:type="paragraph" w:customStyle="1" w:styleId="NO">
    <w:name w:val="NO"/>
    <w:basedOn w:val="Normal"/>
    <w:link w:val="NOChar"/>
    <w:rsid w:val="0068641B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lang w:eastAsia="x-none"/>
    </w:rPr>
  </w:style>
  <w:style w:type="character" w:customStyle="1" w:styleId="NOChar">
    <w:name w:val="NO Char"/>
    <w:link w:val="NO"/>
    <w:rsid w:val="0068641B"/>
    <w:rPr>
      <w:rFonts w:eastAsia="Times New Roman"/>
      <w:lang w:val="en-GB" w:eastAsia="x-none"/>
    </w:rPr>
  </w:style>
  <w:style w:type="paragraph" w:customStyle="1" w:styleId="B2">
    <w:name w:val="B2"/>
    <w:basedOn w:val="List2"/>
    <w:rsid w:val="0068641B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</w:rPr>
  </w:style>
  <w:style w:type="paragraph" w:styleId="List2">
    <w:name w:val="List 2"/>
    <w:basedOn w:val="Normal"/>
    <w:uiPriority w:val="99"/>
    <w:semiHidden/>
    <w:unhideWhenUsed/>
    <w:rsid w:val="0068641B"/>
    <w:pPr>
      <w:ind w:left="720" w:hanging="360"/>
      <w:contextualSpacing/>
    </w:pPr>
  </w:style>
  <w:style w:type="paragraph" w:customStyle="1" w:styleId="TAH">
    <w:name w:val="TAH"/>
    <w:basedOn w:val="TAC"/>
    <w:link w:val="TAHCar"/>
    <w:qFormat/>
    <w:rsid w:val="0051721B"/>
    <w:rPr>
      <w:b/>
      <w:bCs/>
    </w:rPr>
  </w:style>
  <w:style w:type="paragraph" w:customStyle="1" w:styleId="TAC">
    <w:name w:val="TAC"/>
    <w:basedOn w:val="Normal"/>
    <w:link w:val="TACChar"/>
    <w:rsid w:val="0051721B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sz w:val="18"/>
      <w:szCs w:val="18"/>
      <w:lang w:eastAsia="x-none"/>
    </w:rPr>
  </w:style>
  <w:style w:type="paragraph" w:customStyle="1" w:styleId="B1">
    <w:name w:val="B1"/>
    <w:basedOn w:val="List"/>
    <w:link w:val="B1Char"/>
    <w:rsid w:val="0051721B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lang w:eastAsia="x-none"/>
    </w:rPr>
  </w:style>
  <w:style w:type="paragraph" w:customStyle="1" w:styleId="TH">
    <w:name w:val="TH"/>
    <w:basedOn w:val="Normal"/>
    <w:link w:val="THChar"/>
    <w:rsid w:val="0051721B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bCs/>
      <w:lang w:eastAsia="x-none"/>
    </w:rPr>
  </w:style>
  <w:style w:type="character" w:customStyle="1" w:styleId="THChar">
    <w:name w:val="TH Char"/>
    <w:link w:val="TH"/>
    <w:rsid w:val="0051721B"/>
    <w:rPr>
      <w:rFonts w:ascii="Arial" w:eastAsia="Times New Roman" w:hAnsi="Arial"/>
      <w:b/>
      <w:bCs/>
      <w:lang w:val="en-GB" w:eastAsia="x-none"/>
    </w:rPr>
  </w:style>
  <w:style w:type="character" w:customStyle="1" w:styleId="TACChar">
    <w:name w:val="TAC Char"/>
    <w:link w:val="TAC"/>
    <w:rsid w:val="0051721B"/>
    <w:rPr>
      <w:rFonts w:ascii="Arial" w:eastAsia="Times New Roman" w:hAnsi="Arial"/>
      <w:sz w:val="18"/>
      <w:szCs w:val="18"/>
      <w:lang w:val="en-GB" w:eastAsia="x-none"/>
    </w:rPr>
  </w:style>
  <w:style w:type="character" w:customStyle="1" w:styleId="TAHCar">
    <w:name w:val="TAH Car"/>
    <w:link w:val="TAH"/>
    <w:qFormat/>
    <w:rsid w:val="0051721B"/>
    <w:rPr>
      <w:rFonts w:ascii="Arial" w:eastAsia="Times New Roman" w:hAnsi="Arial"/>
      <w:b/>
      <w:bCs/>
      <w:sz w:val="18"/>
      <w:szCs w:val="18"/>
      <w:lang w:val="en-GB" w:eastAsia="x-none"/>
    </w:rPr>
  </w:style>
  <w:style w:type="character" w:customStyle="1" w:styleId="B1Char">
    <w:name w:val="B1 Char"/>
    <w:link w:val="B1"/>
    <w:rsid w:val="0051721B"/>
    <w:rPr>
      <w:rFonts w:eastAsia="Times New Roman"/>
      <w:lang w:val="en-GB" w:eastAsia="x-none"/>
    </w:rPr>
  </w:style>
  <w:style w:type="paragraph" w:styleId="List">
    <w:name w:val="List"/>
    <w:basedOn w:val="Normal"/>
    <w:uiPriority w:val="99"/>
    <w:semiHidden/>
    <w:unhideWhenUsed/>
    <w:rsid w:val="0051721B"/>
    <w:pPr>
      <w:ind w:left="360" w:hanging="360"/>
      <w:contextualSpacing/>
    </w:pPr>
  </w:style>
  <w:style w:type="paragraph" w:customStyle="1" w:styleId="EQ">
    <w:name w:val="EQ"/>
    <w:basedOn w:val="Normal"/>
    <w:next w:val="Normal"/>
    <w:link w:val="EQChar"/>
    <w:rsid w:val="008D00EE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lang w:eastAsia="x-none"/>
    </w:rPr>
  </w:style>
  <w:style w:type="character" w:customStyle="1" w:styleId="EQChar">
    <w:name w:val="EQ Char"/>
    <w:link w:val="EQ"/>
    <w:rsid w:val="008D00EE"/>
    <w:rPr>
      <w:rFonts w:eastAsia="Times New Roman"/>
      <w:noProof/>
      <w:lang w:val="en-GB" w:eastAsia="x-none"/>
    </w:rPr>
  </w:style>
  <w:style w:type="paragraph" w:styleId="NormalWeb">
    <w:name w:val="Normal (Web)"/>
    <w:basedOn w:val="Normal"/>
    <w:uiPriority w:val="99"/>
    <w:semiHidden/>
    <w:unhideWhenUsed/>
    <w:rsid w:val="002554C7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enumxml">
    <w:name w:val="enumxml"/>
    <w:rsid w:val="00DD1DA4"/>
  </w:style>
  <w:style w:type="character" w:customStyle="1" w:styleId="apple-converted-space">
    <w:name w:val="apple-converted-space"/>
    <w:rsid w:val="00DD1DA4"/>
  </w:style>
  <w:style w:type="character" w:styleId="Hyperlink">
    <w:name w:val="Hyperlink"/>
    <w:uiPriority w:val="99"/>
    <w:unhideWhenUsed/>
    <w:rsid w:val="00191034"/>
    <w:rPr>
      <w:color w:val="0000FF"/>
      <w:u w:val="single"/>
    </w:rPr>
  </w:style>
  <w:style w:type="paragraph" w:customStyle="1" w:styleId="gpotbltitle">
    <w:name w:val="gpotbl_title"/>
    <w:basedOn w:val="Normal"/>
    <w:rsid w:val="00042EC1"/>
    <w:pPr>
      <w:spacing w:before="100" w:beforeAutospacing="1" w:after="100" w:afterAutospacing="1"/>
      <w:ind w:firstLine="480"/>
      <w:jc w:val="center"/>
    </w:pPr>
    <w:rPr>
      <w:rFonts w:eastAsia="Times New Roman"/>
      <w:b/>
      <w:bCs/>
      <w:smallCaps/>
      <w:sz w:val="24"/>
      <w:szCs w:val="24"/>
      <w:lang w:val="en-US"/>
    </w:rPr>
  </w:style>
  <w:style w:type="character" w:styleId="FollowedHyperlink">
    <w:name w:val="FollowedHyperlink"/>
    <w:uiPriority w:val="99"/>
    <w:semiHidden/>
    <w:unhideWhenUsed/>
    <w:rsid w:val="0089785D"/>
    <w:rPr>
      <w:color w:val="954F72"/>
      <w:u w:val="single"/>
    </w:rPr>
  </w:style>
  <w:style w:type="table" w:styleId="TableGrid">
    <w:name w:val="Table Grid"/>
    <w:basedOn w:val="TableNormal"/>
    <w:uiPriority w:val="59"/>
    <w:rsid w:val="00983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목록 단락,リスト段落,列出段落"/>
    <w:basedOn w:val="Normal"/>
    <w:link w:val="ListParagraphChar"/>
    <w:uiPriority w:val="34"/>
    <w:qFormat/>
    <w:rsid w:val="00693D9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?? ?? Char,????? Char,???? Char,목록 단락 Char,リスト段落 Char,列出段落 Char"/>
    <w:link w:val="ListParagraph"/>
    <w:uiPriority w:val="34"/>
    <w:qFormat/>
    <w:locked/>
    <w:rsid w:val="00693D94"/>
    <w:rPr>
      <w:rFonts w:ascii="Calibri" w:hAnsi="Calibri"/>
      <w:sz w:val="22"/>
      <w:szCs w:val="22"/>
    </w:rPr>
  </w:style>
  <w:style w:type="paragraph" w:customStyle="1" w:styleId="TAL">
    <w:name w:val="TAL"/>
    <w:basedOn w:val="Normal"/>
    <w:link w:val="TALCar"/>
    <w:rsid w:val="00FE5E63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sz w:val="18"/>
    </w:rPr>
  </w:style>
  <w:style w:type="character" w:customStyle="1" w:styleId="TALCar">
    <w:name w:val="TAL Car"/>
    <w:link w:val="TAL"/>
    <w:rsid w:val="00FE5E63"/>
    <w:rPr>
      <w:rFonts w:ascii="Arial" w:eastAsia="Yu Mincho" w:hAnsi="Arial"/>
      <w:sz w:val="18"/>
      <w:lang w:val="en-GB"/>
    </w:rPr>
  </w:style>
  <w:style w:type="paragraph" w:customStyle="1" w:styleId="Guidance">
    <w:name w:val="Guidance"/>
    <w:basedOn w:val="Normal"/>
    <w:link w:val="GuidanceChar"/>
    <w:rsid w:val="00FE5E6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  <w:i/>
      <w:color w:val="0000FF"/>
    </w:rPr>
  </w:style>
  <w:style w:type="character" w:customStyle="1" w:styleId="GuidanceChar">
    <w:name w:val="Guidance Char"/>
    <w:link w:val="Guidance"/>
    <w:rsid w:val="00FE5E63"/>
    <w:rPr>
      <w:rFonts w:eastAsia="Yu Mincho"/>
      <w:i/>
      <w:color w:val="0000FF"/>
      <w:lang w:val="en-GB"/>
    </w:rPr>
  </w:style>
  <w:style w:type="paragraph" w:customStyle="1" w:styleId="CRCoverPage">
    <w:name w:val="CR Cover Page"/>
    <w:link w:val="CRCoverPageChar"/>
    <w:rsid w:val="00073CAB"/>
    <w:pPr>
      <w:spacing w:after="120"/>
    </w:pPr>
    <w:rPr>
      <w:rFonts w:ascii="Arial" w:eastAsia="Times New Roman" w:hAnsi="Arial"/>
      <w:lang w:val="en-GB"/>
    </w:rPr>
  </w:style>
  <w:style w:type="character" w:customStyle="1" w:styleId="CRCoverPageChar">
    <w:name w:val="CR Cover Page Char"/>
    <w:link w:val="CRCoverPage"/>
    <w:rsid w:val="00073CAB"/>
    <w:rPr>
      <w:rFonts w:ascii="Arial" w:eastAsia="Times New Roman" w:hAnsi="Arial"/>
      <w:lang w:val="en-GB"/>
    </w:rPr>
  </w:style>
  <w:style w:type="paragraph" w:styleId="Revision">
    <w:name w:val="Revision"/>
    <w:hidden/>
    <w:uiPriority w:val="99"/>
    <w:semiHidden/>
    <w:rsid w:val="00362D1C"/>
    <w:rPr>
      <w:rFonts w:eastAsia="SimSun"/>
      <w:lang w:val="en-GB"/>
    </w:rPr>
  </w:style>
  <w:style w:type="character" w:customStyle="1" w:styleId="UnresolvedMention">
    <w:name w:val="Unresolved Mention"/>
    <w:uiPriority w:val="99"/>
    <w:semiHidden/>
    <w:unhideWhenUsed/>
    <w:rsid w:val="00ED7F1A"/>
    <w:rPr>
      <w:color w:val="808080"/>
      <w:shd w:val="clear" w:color="auto" w:fill="E6E6E6"/>
    </w:rPr>
  </w:style>
  <w:style w:type="paragraph" w:customStyle="1" w:styleId="Tabletext">
    <w:name w:val="Table_text"/>
    <w:basedOn w:val="Normal"/>
    <w:link w:val="TabletextChar"/>
    <w:qFormat/>
    <w:rsid w:val="00521EC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lang w:val="fr-FR"/>
    </w:rPr>
  </w:style>
  <w:style w:type="character" w:customStyle="1" w:styleId="TabletextChar">
    <w:name w:val="Table_text Char"/>
    <w:link w:val="Tabletext"/>
    <w:locked/>
    <w:rsid w:val="00521ECB"/>
    <w:rPr>
      <w:rFonts w:eastAsia="Times New Roman"/>
      <w:sz w:val="22"/>
      <w:lang w:val="fr-FR"/>
    </w:rPr>
  </w:style>
  <w:style w:type="paragraph" w:customStyle="1" w:styleId="Tablehead">
    <w:name w:val="Table_head"/>
    <w:basedOn w:val="Normal"/>
    <w:next w:val="Normal"/>
    <w:link w:val="TableheadChar"/>
    <w:qFormat/>
    <w:rsid w:val="00521ECB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lang w:val="fr-FR"/>
    </w:rPr>
  </w:style>
  <w:style w:type="character" w:customStyle="1" w:styleId="TableheadChar">
    <w:name w:val="Table_head Char"/>
    <w:link w:val="Tablehead"/>
    <w:locked/>
    <w:rsid w:val="00521ECB"/>
    <w:rPr>
      <w:rFonts w:eastAsia="Times New Roman"/>
      <w:b/>
      <w:sz w:val="22"/>
      <w:lang w:val="fr-FR"/>
    </w:rPr>
  </w:style>
  <w:style w:type="paragraph" w:styleId="TOC4">
    <w:name w:val="toc 4"/>
    <w:basedOn w:val="TOC3"/>
    <w:next w:val="Normal"/>
    <w:autoRedefine/>
    <w:semiHidden/>
    <w:rsid w:val="00740ED7"/>
    <w:pPr>
      <w:tabs>
        <w:tab w:val="right" w:leader="dot" w:pos="9639"/>
      </w:tabs>
      <w:ind w:left="2835" w:hanging="1134"/>
    </w:pPr>
    <w:rPr>
      <w:rFonts w:ascii="Arial" w:eastAsia="Times New Roman" w:hAnsi="Arial"/>
      <w:noProof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40ED7"/>
    <w:pPr>
      <w:ind w:left="400"/>
    </w:pPr>
  </w:style>
  <w:style w:type="character" w:styleId="PlaceholderText">
    <w:name w:val="Placeholder Text"/>
    <w:basedOn w:val="DefaultParagraphFont"/>
    <w:uiPriority w:val="99"/>
    <w:semiHidden/>
    <w:rsid w:val="004F6C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5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23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57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83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7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0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36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7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04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3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703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5198">
                  <w:marLeft w:val="0"/>
                  <w:marRight w:val="0"/>
                  <w:marTop w:val="0"/>
                  <w:marBottom w:val="0"/>
                  <w:divBdr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divBdr>
                </w:div>
                <w:div w:id="13280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560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4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1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8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5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9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4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3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737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27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44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680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4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6115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609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92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95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17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0 xmlns="a98b0458-14e1-4e1f-a9ed-8418c6586003" xsi:nil="true"/>
    <File_x0020_Author xmlns="a98b0458-14e1-4e1f-a9ed-8418c6586003" xsi:nil="true"/>
    <Dimensions xmlns="a98b0458-14e1-4e1f-a9ed-8418c6586003" xsi:nil="true"/>
    <Date_x0020_Accessed xmlns="a98b0458-14e1-4e1f-a9ed-8418c6586003" xsi:nil="true"/>
    <Category xmlns="a98b0458-14e1-4e1f-a9ed-8418c6586003" xsi:nil="true"/>
    <Status xmlns="a98b0458-14e1-4e1f-a9ed-8418c6586003" xsi:nil="true"/>
    <DLCPolicyLabelClientValue xmlns="a98b0458-14e1-4e1f-a9ed-8418c6586003" xsi:nil="true"/>
    <Comments xmlns="a98b0458-14e1-4e1f-a9ed-8418c65860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EF6E079C2C1439155504159A05F52" ma:contentTypeVersion="11" ma:contentTypeDescription="Create a new document." ma:contentTypeScope="" ma:versionID="b629dbc4cf2cba165f789c9642a512f7">
  <xsd:schema xmlns:xsd="http://www.w3.org/2001/XMLSchema" xmlns:p="http://schemas.microsoft.com/office/2006/metadata/properties" xmlns:ns2="a98b0458-14e1-4e1f-a9ed-8418c6586003" targetNamespace="http://schemas.microsoft.com/office/2006/metadata/properties" ma:root="true" ma:fieldsID="13656666de4859632dc465b11cb30441" ns2:_="">
    <xsd:import namespace="a98b0458-14e1-4e1f-a9ed-8418c6586003"/>
    <xsd:element name="properties">
      <xsd:complexType>
        <xsd:sequence>
          <xsd:element name="documentManagement">
            <xsd:complexType>
              <xsd:all>
                <xsd:element ref="ns2:Date_x0020_Accessed" minOccurs="0"/>
                <xsd:element ref="ns2:Status" minOccurs="0"/>
                <xsd:element ref="ns2:DLCPolicyLabelValue" minOccurs="0"/>
                <xsd:element ref="ns2:File_x0020_Author" minOccurs="0"/>
                <xsd:element ref="ns2:Pages0" minOccurs="0"/>
                <xsd:element ref="ns2:Category" minOccurs="0"/>
                <xsd:element ref="ns2:DLCPolicyLabelClientValue" minOccurs="0"/>
                <xsd:element ref="ns2:Comments" minOccurs="0"/>
                <xsd:element ref="ns2:Dimension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98b0458-14e1-4e1f-a9ed-8418c6586003" elementFormDefault="qualified">
    <xsd:import namespace="http://schemas.microsoft.com/office/2006/documentManagement/types"/>
    <xsd:element name="Date_x0020_Accessed" ma:index="8" nillable="true" ma:displayName="Date Accessed" ma:internalName="Date_x0020_Accessed">
      <xsd:simpleType>
        <xsd:restriction base="dms:Text"/>
      </xsd:simpleType>
    </xsd:element>
    <xsd:element name="Status" ma:index="9" nillable="true" ma:displayName="Status" ma:internalName="Status">
      <xsd:simpleType>
        <xsd:restriction base="dms:Text"/>
      </xsd:simpleType>
    </xsd:element>
    <xsd:element name="DLCPolicyLabelValue" ma:index="10" nillable="true" ma:displayName="Label" ma:description="Stores the current value of the label." ma:internalName="Label" ma:readOnly="true">
      <xsd:simpleType>
        <xsd:restriction base="dms:Note"/>
      </xsd:simpleType>
    </xsd:element>
    <xsd:element name="File_x0020_Author" ma:index="11" nillable="true" ma:displayName="File Author" ma:internalName="File_x0020_Author">
      <xsd:simpleType>
        <xsd:restriction base="dms:Text"/>
      </xsd:simpleType>
    </xsd:element>
    <xsd:element name="Pages0" ma:index="12" nillable="true" ma:displayName="Pages" ma:internalName="Pages0">
      <xsd:simpleType>
        <xsd:restriction base="dms:Text"/>
      </xsd:simpleType>
    </xsd:element>
    <xsd:element name="Category" ma:index="15" nillable="true" ma:displayName="Category" ma:internalName="Category">
      <xsd:simpleType>
        <xsd:restriction base="dms:Text"/>
      </xsd:simpleType>
    </xsd:element>
    <xsd:element name="DLCPolicyLabelClientValue" ma:index="16" nillable="true" ma:displayName="Client Label Value" ma:description="Stores the last label value computed on the client." ma:hidden="true" ma:internalName="Client_x0020_Label_x0020_Value" ma:readOnly="false">
      <xsd:simpleType>
        <xsd:restriction base="dms:Note"/>
      </xsd:simpleType>
    </xsd:element>
    <xsd:element name="Comments" ma:index="17" nillable="true" ma:displayName="Comments" ma:internalName="Comments">
      <xsd:simpleType>
        <xsd:restriction base="dms:Text"/>
      </xsd:simpleType>
    </xsd:element>
    <xsd:element name="Dimensions" ma:index="18" nillable="true" ma:displayName="Dimensions" ma:internalName="Dimension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4" ma:displayName="Subject"/>
        <xsd:element ref="dc:description" minOccurs="0" maxOccurs="1"/>
        <xsd:element name="keywords" minOccurs="0" maxOccurs="1" type="xsd:string" ma:index="1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08CEA-6C89-4607-9910-43E740AA98BB}">
  <ds:schemaRefs>
    <ds:schemaRef ds:uri="http://schemas.microsoft.com/office/2006/metadata/properties"/>
    <ds:schemaRef ds:uri="http://schemas.microsoft.com/office/infopath/2007/PartnerControls"/>
    <ds:schemaRef ds:uri="a98b0458-14e1-4e1f-a9ed-8418c6586003"/>
  </ds:schemaRefs>
</ds:datastoreItem>
</file>

<file path=customXml/itemProps2.xml><?xml version="1.0" encoding="utf-8"?>
<ds:datastoreItem xmlns:ds="http://schemas.openxmlformats.org/officeDocument/2006/customXml" ds:itemID="{481A025B-1E36-4C55-BBB6-5F1C64935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71126-2F18-4703-9958-F79FDD29B31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3A1F800-8A89-4B9A-B9F1-3EC422D28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b0458-14e1-4e1f-a9ed-8418c658600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BA939517-C1E7-4E80-9838-0244079C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9</Pages>
  <Words>2278</Words>
  <Characters>12988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InterDigital</dc:creator>
  <cp:keywords/>
  <dc:description/>
  <cp:lastModifiedBy>Ivo Maljevic</cp:lastModifiedBy>
  <cp:revision>10</cp:revision>
  <cp:lastPrinted>2019-03-11T13:53:00Z</cp:lastPrinted>
  <dcterms:created xsi:type="dcterms:W3CDTF">2019-08-26T07:14:00Z</dcterms:created>
  <dcterms:modified xsi:type="dcterms:W3CDTF">2019-09-03T18:40:00Z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