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29032" w14:textId="3D073A10" w:rsidR="00D8637F" w:rsidRPr="00D8637F" w:rsidRDefault="00CD41EF">
      <w:pPr>
        <w:rPr>
          <w:rFonts w:cstheme="minorHAnsi"/>
        </w:rPr>
      </w:pPr>
      <w:r w:rsidRPr="00D8637F">
        <w:t>ATIS</w:t>
      </w:r>
      <w:r w:rsidR="00E41565">
        <w:t xml:space="preserve"> WTSC</w:t>
      </w:r>
      <w:r w:rsidRPr="00D8637F">
        <w:t xml:space="preserve"> IEG would like to thank TSDSI, India for their </w:t>
      </w:r>
      <w:r w:rsidR="0093609D" w:rsidRPr="00D8637F">
        <w:t>u</w:t>
      </w:r>
      <w:r w:rsidRPr="00D8637F">
        <w:t xml:space="preserve">pdated submission of the candidate IMT-2020 Technology in </w:t>
      </w:r>
      <w:r w:rsidR="00DC7D03" w:rsidRPr="00D8637F">
        <w:rPr>
          <w:rFonts w:cstheme="minorHAnsi"/>
          <w:lang w:val="fr-CH" w:eastAsia="zh-CN"/>
        </w:rPr>
        <w:t>5D/</w:t>
      </w:r>
      <w:hyperlink r:id="rId7" w:history="1">
        <w:r w:rsidR="00DC7D03" w:rsidRPr="00D8637F">
          <w:rPr>
            <w:rStyle w:val="Hyperlink"/>
            <w:rFonts w:cstheme="minorHAnsi"/>
            <w:lang w:val="fr-CH" w:eastAsia="zh-CN"/>
          </w:rPr>
          <w:t>1301</w:t>
        </w:r>
      </w:hyperlink>
      <w:r w:rsidR="00DC7D03" w:rsidRPr="00D8637F">
        <w:rPr>
          <w:rFonts w:cstheme="minorHAnsi"/>
        </w:rPr>
        <w:t>.</w:t>
      </w:r>
    </w:p>
    <w:p w14:paraId="6A0043BC" w14:textId="1F8F8684" w:rsidR="00466BEC" w:rsidRDefault="00D8637F">
      <w:pPr>
        <w:rPr>
          <w:rFonts w:cstheme="minorHAnsi"/>
        </w:rPr>
      </w:pPr>
      <w:r w:rsidRPr="00D8637F">
        <w:rPr>
          <w:rFonts w:cstheme="minorHAnsi"/>
        </w:rPr>
        <w:t>ATIS</w:t>
      </w:r>
      <w:r w:rsidR="00E41565">
        <w:rPr>
          <w:rFonts w:cstheme="minorHAnsi"/>
        </w:rPr>
        <w:t xml:space="preserve"> WTSC</w:t>
      </w:r>
      <w:r>
        <w:rPr>
          <w:rFonts w:cstheme="minorHAnsi"/>
        </w:rPr>
        <w:t xml:space="preserve"> IEG </w:t>
      </w:r>
      <w:r w:rsidR="00466BEC">
        <w:rPr>
          <w:rFonts w:cstheme="minorHAnsi"/>
        </w:rPr>
        <w:t>has reviewed the updated submission</w:t>
      </w:r>
      <w:r w:rsidR="00624103">
        <w:rPr>
          <w:rFonts w:cstheme="minorHAnsi"/>
        </w:rPr>
        <w:t>,</w:t>
      </w:r>
      <w:r w:rsidR="00EE528D">
        <w:rPr>
          <w:rFonts w:cstheme="minorHAnsi"/>
        </w:rPr>
        <w:t xml:space="preserve"> has </w:t>
      </w:r>
      <w:r w:rsidR="00285AB0">
        <w:rPr>
          <w:rFonts w:cstheme="minorHAnsi"/>
        </w:rPr>
        <w:t>made some observation</w:t>
      </w:r>
      <w:r w:rsidR="00624103">
        <w:rPr>
          <w:rFonts w:cstheme="minorHAnsi"/>
        </w:rPr>
        <w:t>,</w:t>
      </w:r>
      <w:r w:rsidR="00285AB0">
        <w:rPr>
          <w:rFonts w:cstheme="minorHAnsi"/>
        </w:rPr>
        <w:t xml:space="preserve"> and ha</w:t>
      </w:r>
      <w:r w:rsidR="00DD6158">
        <w:rPr>
          <w:rFonts w:cstheme="minorHAnsi"/>
        </w:rPr>
        <w:t>ve</w:t>
      </w:r>
      <w:r w:rsidR="00285AB0">
        <w:rPr>
          <w:rFonts w:cstheme="minorHAnsi"/>
        </w:rPr>
        <w:t xml:space="preserve"> </w:t>
      </w:r>
      <w:r w:rsidR="00466BEC">
        <w:rPr>
          <w:rFonts w:cstheme="minorHAnsi"/>
        </w:rPr>
        <w:t>a few questions for clarification</w:t>
      </w:r>
      <w:r w:rsidR="00285AB0">
        <w:rPr>
          <w:rFonts w:cstheme="minorHAnsi"/>
        </w:rPr>
        <w:t xml:space="preserve"> as shown below</w:t>
      </w:r>
      <w:r w:rsidR="00466BEC">
        <w:rPr>
          <w:rFonts w:cstheme="minorHAnsi"/>
        </w:rPr>
        <w:t>.</w:t>
      </w:r>
    </w:p>
    <w:p w14:paraId="1881397D" w14:textId="7E3CA41F" w:rsidR="00FE1678" w:rsidRDefault="00FE1678">
      <w:pPr>
        <w:rPr>
          <w:rFonts w:cstheme="minorHAnsi"/>
        </w:rPr>
      </w:pPr>
      <w:r>
        <w:rPr>
          <w:rFonts w:cstheme="minorHAnsi"/>
        </w:rPr>
        <w:t xml:space="preserve">ATIS </w:t>
      </w:r>
      <w:r w:rsidR="00E41565">
        <w:rPr>
          <w:rFonts w:cstheme="minorHAnsi"/>
        </w:rPr>
        <w:t xml:space="preserve">WTSC </w:t>
      </w:r>
      <w:r>
        <w:rPr>
          <w:rFonts w:cstheme="minorHAnsi"/>
        </w:rPr>
        <w:t>IEG has observed, and assumes, that:</w:t>
      </w:r>
    </w:p>
    <w:p w14:paraId="09993B24" w14:textId="49499D51" w:rsidR="00FE1678" w:rsidRPr="00FE1678" w:rsidRDefault="00FE1678" w:rsidP="00FE1678">
      <w:pPr>
        <w:pStyle w:val="ListParagraph"/>
        <w:numPr>
          <w:ilvl w:val="0"/>
          <w:numId w:val="4"/>
        </w:numPr>
        <w:rPr>
          <w:rFonts w:cstheme="minorHAnsi"/>
        </w:rPr>
      </w:pPr>
      <w:r>
        <w:rPr>
          <w:rFonts w:cstheme="minorHAnsi"/>
        </w:rPr>
        <w:t xml:space="preserve">For IMT-2020 TPRs for which evaluation is based on </w:t>
      </w:r>
      <w:r w:rsidRPr="00FE1678">
        <w:rPr>
          <w:rFonts w:cstheme="minorHAnsi"/>
        </w:rPr>
        <w:t>Analysis</w:t>
      </w:r>
      <w:r>
        <w:rPr>
          <w:rFonts w:cstheme="minorHAnsi"/>
        </w:rPr>
        <w:t xml:space="preserve"> or </w:t>
      </w:r>
      <w:r w:rsidRPr="00FE1678">
        <w:rPr>
          <w:rFonts w:cstheme="minorHAnsi"/>
        </w:rPr>
        <w:t>Inspection</w:t>
      </w:r>
      <w:r>
        <w:rPr>
          <w:rFonts w:cstheme="minorHAnsi"/>
        </w:rPr>
        <w:t xml:space="preserve">, TSDSI has fully </w:t>
      </w:r>
      <w:r w:rsidRPr="00FE1678">
        <w:rPr>
          <w:rFonts w:cstheme="minorHAnsi"/>
        </w:rPr>
        <w:t>endorse</w:t>
      </w:r>
      <w:r>
        <w:rPr>
          <w:rFonts w:cstheme="minorHAnsi"/>
        </w:rPr>
        <w:t>d</w:t>
      </w:r>
      <w:r w:rsidRPr="00FE1678">
        <w:rPr>
          <w:rFonts w:cstheme="minorHAnsi"/>
        </w:rPr>
        <w:t xml:space="preserve"> 3GPP evaluation </w:t>
      </w:r>
      <w:r>
        <w:rPr>
          <w:rFonts w:cstheme="minorHAnsi"/>
        </w:rPr>
        <w:t>and</w:t>
      </w:r>
      <w:r w:rsidRPr="00FE1678">
        <w:rPr>
          <w:rFonts w:cstheme="minorHAnsi"/>
        </w:rPr>
        <w:t xml:space="preserve"> results</w:t>
      </w:r>
    </w:p>
    <w:p w14:paraId="567E83CE" w14:textId="0734487E" w:rsidR="00FE1678" w:rsidRPr="00FE1678" w:rsidRDefault="00FE1678" w:rsidP="00FE1678">
      <w:pPr>
        <w:pStyle w:val="ListParagraph"/>
        <w:numPr>
          <w:ilvl w:val="0"/>
          <w:numId w:val="4"/>
        </w:numPr>
        <w:rPr>
          <w:rFonts w:cstheme="minorHAnsi"/>
        </w:rPr>
      </w:pPr>
      <w:r>
        <w:rPr>
          <w:rFonts w:cstheme="minorHAnsi"/>
        </w:rPr>
        <w:t xml:space="preserve">For IMT-2020 TPRs for which evaluation is based on </w:t>
      </w:r>
      <w:r w:rsidRPr="00FE1678">
        <w:rPr>
          <w:rFonts w:cstheme="minorHAnsi"/>
        </w:rPr>
        <w:t>Simulation</w:t>
      </w:r>
      <w:r>
        <w:rPr>
          <w:rFonts w:cstheme="minorHAnsi"/>
        </w:rPr>
        <w:t>s, TSDSI has provided their own</w:t>
      </w:r>
      <w:r w:rsidRPr="00FE1678">
        <w:rPr>
          <w:rFonts w:cstheme="minorHAnsi"/>
        </w:rPr>
        <w:t xml:space="preserve"> sim</w:t>
      </w:r>
      <w:r>
        <w:rPr>
          <w:rFonts w:cstheme="minorHAnsi"/>
        </w:rPr>
        <w:t xml:space="preserve">ulation </w:t>
      </w:r>
      <w:r w:rsidRPr="00FE1678">
        <w:rPr>
          <w:rFonts w:cstheme="minorHAnsi"/>
        </w:rPr>
        <w:t>results</w:t>
      </w:r>
      <w:r w:rsidR="00DE3B70">
        <w:rPr>
          <w:rFonts w:cstheme="minorHAnsi"/>
        </w:rPr>
        <w:t>,</w:t>
      </w:r>
      <w:r w:rsidR="00DF3F5D">
        <w:rPr>
          <w:rFonts w:cstheme="minorHAnsi"/>
        </w:rPr>
        <w:t xml:space="preserve"> </w:t>
      </w:r>
      <w:r>
        <w:rPr>
          <w:rFonts w:cstheme="minorHAnsi"/>
        </w:rPr>
        <w:t>for</w:t>
      </w:r>
      <w:r w:rsidRPr="00FE1678">
        <w:rPr>
          <w:rFonts w:cstheme="minorHAnsi"/>
        </w:rPr>
        <w:t xml:space="preserve"> </w:t>
      </w:r>
    </w:p>
    <w:p w14:paraId="4E936AB9" w14:textId="513C3EF5" w:rsidR="00FE1678" w:rsidRPr="00FE1678" w:rsidRDefault="00FE1678" w:rsidP="009A0F45">
      <w:pPr>
        <w:pStyle w:val="ListParagraph"/>
        <w:numPr>
          <w:ilvl w:val="1"/>
          <w:numId w:val="4"/>
        </w:numPr>
        <w:rPr>
          <w:rFonts w:cstheme="minorHAnsi"/>
        </w:rPr>
      </w:pPr>
      <w:r w:rsidRPr="00FE1678">
        <w:rPr>
          <w:rFonts w:cstheme="minorHAnsi"/>
        </w:rPr>
        <w:t>eMBB S</w:t>
      </w:r>
      <w:r>
        <w:rPr>
          <w:rFonts w:cstheme="minorHAnsi"/>
        </w:rPr>
        <w:t>pectral efficiency</w:t>
      </w:r>
      <w:r w:rsidRPr="00FE1678">
        <w:rPr>
          <w:rFonts w:cstheme="minorHAnsi"/>
        </w:rPr>
        <w:t xml:space="preserve"> and Mobility</w:t>
      </w:r>
    </w:p>
    <w:p w14:paraId="087222D6" w14:textId="33EAD54F" w:rsidR="00FE1678" w:rsidRPr="00FE1678" w:rsidRDefault="00FE1678" w:rsidP="009A0F45">
      <w:pPr>
        <w:pStyle w:val="ListParagraph"/>
        <w:numPr>
          <w:ilvl w:val="1"/>
          <w:numId w:val="4"/>
        </w:numPr>
        <w:rPr>
          <w:rFonts w:cstheme="minorHAnsi"/>
        </w:rPr>
      </w:pPr>
      <w:r>
        <w:rPr>
          <w:rFonts w:cstheme="minorHAnsi"/>
        </w:rPr>
        <w:t xml:space="preserve">URLLC </w:t>
      </w:r>
      <w:r w:rsidRPr="00FE1678">
        <w:rPr>
          <w:rFonts w:cstheme="minorHAnsi"/>
        </w:rPr>
        <w:t>Reliability</w:t>
      </w:r>
    </w:p>
    <w:p w14:paraId="0FDB5283" w14:textId="32769783" w:rsidR="0019721F" w:rsidRPr="0054026A" w:rsidRDefault="00FE1678" w:rsidP="0054026A">
      <w:pPr>
        <w:pStyle w:val="ListParagraph"/>
        <w:numPr>
          <w:ilvl w:val="1"/>
          <w:numId w:val="4"/>
        </w:numPr>
        <w:rPr>
          <w:rFonts w:cstheme="minorHAnsi"/>
        </w:rPr>
      </w:pPr>
      <w:proofErr w:type="spellStart"/>
      <w:r>
        <w:rPr>
          <w:rFonts w:cstheme="minorHAnsi"/>
        </w:rPr>
        <w:t>mMTC</w:t>
      </w:r>
      <w:proofErr w:type="spellEnd"/>
      <w:r>
        <w:rPr>
          <w:rFonts w:cstheme="minorHAnsi"/>
        </w:rPr>
        <w:t xml:space="preserve"> </w:t>
      </w:r>
      <w:r w:rsidRPr="00FE1678">
        <w:rPr>
          <w:rFonts w:cstheme="minorHAnsi"/>
        </w:rPr>
        <w:t>Connection Density</w:t>
      </w:r>
    </w:p>
    <w:p w14:paraId="4E9A869E" w14:textId="188A4A9F" w:rsidR="00D65501" w:rsidRPr="005A6B05" w:rsidRDefault="00D65501" w:rsidP="00D65501">
      <w:r w:rsidRPr="005A6B05">
        <w:t xml:space="preserve">With </w:t>
      </w:r>
      <w:r w:rsidR="00D4068E">
        <w:t>respect</w:t>
      </w:r>
      <w:r w:rsidRPr="005A6B05">
        <w:t xml:space="preserve"> to the list of extra features provided in the TSDSI RIT submission </w:t>
      </w:r>
      <w:r>
        <w:t>(</w:t>
      </w:r>
      <w:r w:rsidR="00FE1678" w:rsidRPr="00FE1678">
        <w:t>from the Characteristic Template, sec 5.2.3.2.27 “Other information”</w:t>
      </w:r>
      <w:r w:rsidRPr="005A6B05">
        <w:t>):</w:t>
      </w:r>
    </w:p>
    <w:p w14:paraId="192B40DB" w14:textId="55A40273" w:rsidR="00D65501" w:rsidRPr="005A6B05" w:rsidRDefault="00D65501" w:rsidP="00CD7E5B">
      <w:pPr>
        <w:pStyle w:val="ListParagraph"/>
        <w:numPr>
          <w:ilvl w:val="0"/>
          <w:numId w:val="2"/>
        </w:numPr>
      </w:pPr>
      <w:r w:rsidRPr="005A6B05">
        <w:t xml:space="preserve">Was pi/2 BPSK (with 23dBm max UE </w:t>
      </w:r>
      <w:proofErr w:type="spellStart"/>
      <w:r w:rsidRPr="005A6B05">
        <w:t>pwr</w:t>
      </w:r>
      <w:proofErr w:type="spellEnd"/>
      <w:r w:rsidRPr="005A6B05">
        <w:t>) enabled/used in the simulations for eMBB spectral efficiency evaluation</w:t>
      </w:r>
      <w:r w:rsidR="00FE1678">
        <w:t>, or mMTC connection density</w:t>
      </w:r>
      <w:r w:rsidRPr="005A6B05">
        <w:t>?</w:t>
      </w:r>
    </w:p>
    <w:p w14:paraId="2B63C2CA" w14:textId="3D3A57E3" w:rsidR="00D65501" w:rsidRPr="005A6B05" w:rsidRDefault="00D65501" w:rsidP="00CD7E5B">
      <w:pPr>
        <w:pStyle w:val="ListParagraph"/>
        <w:numPr>
          <w:ilvl w:val="0"/>
          <w:numId w:val="2"/>
        </w:numPr>
      </w:pPr>
      <w:r w:rsidRPr="005A6B05">
        <w:t xml:space="preserve">If pi/2 BPSK (with 23dBm max UE </w:t>
      </w:r>
      <w:proofErr w:type="spellStart"/>
      <w:r w:rsidRPr="005A6B05">
        <w:t>pwr</w:t>
      </w:r>
      <w:proofErr w:type="spellEnd"/>
      <w:r w:rsidRPr="005A6B05">
        <w:t>) was used, were pi/2 BPSK extra sub-features, such as 1+D spectrum shaping and/or unfiltered DMRS, used or disabled?</w:t>
      </w:r>
    </w:p>
    <w:p w14:paraId="70B17E02" w14:textId="05A1ECF8" w:rsidR="0019721F" w:rsidRDefault="00D65501" w:rsidP="0054026A">
      <w:pPr>
        <w:pStyle w:val="ListParagraph"/>
        <w:numPr>
          <w:ilvl w:val="0"/>
          <w:numId w:val="2"/>
        </w:numPr>
      </w:pPr>
      <w:r w:rsidRPr="005A6B05">
        <w:t>Was any other extra feature in the list (</w:t>
      </w:r>
      <w:r>
        <w:t xml:space="preserve">other </w:t>
      </w:r>
      <w:r w:rsidRPr="005A6B05">
        <w:t>than pi/2BPSK) evaluated, e.g. for high speed mobility</w:t>
      </w:r>
      <w:r>
        <w:t xml:space="preserve"> scenario</w:t>
      </w:r>
      <w:r w:rsidR="00FE1678">
        <w:t>s</w:t>
      </w:r>
      <w:r w:rsidRPr="005A6B05">
        <w:t>?</w:t>
      </w:r>
    </w:p>
    <w:p w14:paraId="641DF91D" w14:textId="60AC3E7C" w:rsidR="001C5D43" w:rsidRPr="001C5D43" w:rsidRDefault="001C5D43" w:rsidP="001C5D43">
      <w:pPr>
        <w:rPr>
          <w:rFonts w:cstheme="minorHAnsi"/>
        </w:rPr>
      </w:pPr>
      <w:r>
        <w:rPr>
          <w:rFonts w:cstheme="minorHAnsi"/>
        </w:rPr>
        <w:t xml:space="preserve">With respect to </w:t>
      </w:r>
      <w:r w:rsidR="006A5DEC">
        <w:rPr>
          <w:rFonts w:cstheme="minorHAnsi"/>
        </w:rPr>
        <w:t xml:space="preserve">the </w:t>
      </w:r>
      <w:r w:rsidR="00FE1678">
        <w:rPr>
          <w:rFonts w:cstheme="minorHAnsi"/>
        </w:rPr>
        <w:t>Compliance template and Link Budgets</w:t>
      </w:r>
      <w:r w:rsidR="006A5DEC">
        <w:rPr>
          <w:rFonts w:cstheme="minorHAnsi"/>
        </w:rPr>
        <w:t>:</w:t>
      </w:r>
    </w:p>
    <w:p w14:paraId="6CEAC724" w14:textId="326C0460" w:rsidR="001C5D43" w:rsidRPr="006A5DEC" w:rsidRDefault="001C5D43" w:rsidP="006A5DEC">
      <w:pPr>
        <w:pStyle w:val="ListParagraph"/>
        <w:numPr>
          <w:ilvl w:val="0"/>
          <w:numId w:val="3"/>
        </w:numPr>
        <w:rPr>
          <w:rFonts w:cstheme="minorHAnsi"/>
        </w:rPr>
      </w:pPr>
      <w:r w:rsidRPr="006A5DEC">
        <w:rPr>
          <w:rFonts w:cstheme="minorHAnsi"/>
        </w:rPr>
        <w:t xml:space="preserve">It is observed that the compliance template shows </w:t>
      </w:r>
      <w:proofErr w:type="spellStart"/>
      <w:r w:rsidRPr="006A5DEC">
        <w:rPr>
          <w:rFonts w:cstheme="minorHAnsi"/>
        </w:rPr>
        <w:t>eMBB</w:t>
      </w:r>
      <w:proofErr w:type="spellEnd"/>
      <w:r w:rsidRPr="006A5DEC">
        <w:rPr>
          <w:rFonts w:cstheme="minorHAnsi"/>
        </w:rPr>
        <w:t xml:space="preserve"> 5%-</w:t>
      </w:r>
      <w:proofErr w:type="spellStart"/>
      <w:r w:rsidRPr="006A5DEC">
        <w:rPr>
          <w:rFonts w:cstheme="minorHAnsi"/>
        </w:rPr>
        <w:t>ile</w:t>
      </w:r>
      <w:proofErr w:type="spellEnd"/>
      <w:r w:rsidRPr="006A5DEC">
        <w:rPr>
          <w:rFonts w:cstheme="minorHAnsi"/>
        </w:rPr>
        <w:t xml:space="preserve"> spectral efficiency results for Rural config C (LMLC), including “YES” under the “Requirement met?” column. </w:t>
      </w:r>
    </w:p>
    <w:p w14:paraId="7CE33909" w14:textId="71FC18CC" w:rsidR="001C5D43" w:rsidRPr="004F5D6F" w:rsidRDefault="001C5D43" w:rsidP="004F5D6F">
      <w:pPr>
        <w:pStyle w:val="ListParagraph"/>
        <w:numPr>
          <w:ilvl w:val="1"/>
          <w:numId w:val="3"/>
        </w:numPr>
        <w:rPr>
          <w:rFonts w:cstheme="minorHAnsi"/>
        </w:rPr>
      </w:pPr>
      <w:r w:rsidRPr="006A5DEC">
        <w:rPr>
          <w:rFonts w:cstheme="minorHAnsi"/>
        </w:rPr>
        <w:t>This is not aligned with the IMT-2020 requirements and compliance criteria, since there is no target requirement for 5%-</w:t>
      </w:r>
      <w:proofErr w:type="spellStart"/>
      <w:r w:rsidRPr="006A5DEC">
        <w:rPr>
          <w:rFonts w:cstheme="minorHAnsi"/>
        </w:rPr>
        <w:t>ile</w:t>
      </w:r>
      <w:proofErr w:type="spellEnd"/>
      <w:r w:rsidRPr="006A5DEC">
        <w:rPr>
          <w:rFonts w:cstheme="minorHAnsi"/>
        </w:rPr>
        <w:t xml:space="preserve"> spectral efficiency in eMBB-Rural config C (LMLC). </w:t>
      </w:r>
      <w:r w:rsidRPr="004F5D6F">
        <w:rPr>
          <w:rFonts w:cstheme="minorHAnsi"/>
        </w:rPr>
        <w:t>Therefore, TSDSI compliance template should be corrected/clarified.</w:t>
      </w:r>
    </w:p>
    <w:p w14:paraId="34101631" w14:textId="18E5DB7D" w:rsidR="001C5D43" w:rsidRPr="006A5DEC" w:rsidRDefault="001C5D43" w:rsidP="006A5DEC">
      <w:pPr>
        <w:pStyle w:val="ListParagraph"/>
        <w:numPr>
          <w:ilvl w:val="0"/>
          <w:numId w:val="3"/>
        </w:numPr>
        <w:rPr>
          <w:rFonts w:cstheme="minorHAnsi"/>
        </w:rPr>
      </w:pPr>
      <w:r w:rsidRPr="006A5DEC">
        <w:rPr>
          <w:rFonts w:cstheme="minorHAnsi"/>
        </w:rPr>
        <w:t>It is observed that, in the compliance template, Mobility evaluation for eMBB Rural 4GHz shows simulation results that are outside (higher than) the range of corresponding 3GPP simulation results.</w:t>
      </w:r>
    </w:p>
    <w:p w14:paraId="18C0995C" w14:textId="2229F7E5" w:rsidR="001C5D43" w:rsidRPr="00ED6522" w:rsidRDefault="001C5D43" w:rsidP="00ED6522">
      <w:pPr>
        <w:pStyle w:val="ListParagraph"/>
        <w:numPr>
          <w:ilvl w:val="1"/>
          <w:numId w:val="3"/>
        </w:numPr>
        <w:rPr>
          <w:rFonts w:cstheme="minorHAnsi"/>
        </w:rPr>
      </w:pPr>
      <w:r w:rsidRPr="006A5DEC">
        <w:rPr>
          <w:rFonts w:cstheme="minorHAnsi"/>
        </w:rPr>
        <w:t xml:space="preserve">This is not fully clear and expected, considering that the simulations assumptions are very similar (between 3GPP and TSDSI evaluations). </w:t>
      </w:r>
      <w:r w:rsidRPr="00ED6522">
        <w:rPr>
          <w:rFonts w:cstheme="minorHAnsi"/>
        </w:rPr>
        <w:t>Therefore, some further information and/or clarification from TSDSI would be helpful.</w:t>
      </w:r>
    </w:p>
    <w:p w14:paraId="12341A57" w14:textId="3D5FE140" w:rsidR="00ED6522" w:rsidRPr="006D4041" w:rsidRDefault="001C5D43" w:rsidP="00ED6522">
      <w:pPr>
        <w:pStyle w:val="ListParagraph"/>
        <w:numPr>
          <w:ilvl w:val="0"/>
          <w:numId w:val="3"/>
        </w:numPr>
        <w:rPr>
          <w:rFonts w:cstheme="minorHAnsi"/>
        </w:rPr>
      </w:pPr>
      <w:r w:rsidRPr="006A5DEC">
        <w:rPr>
          <w:rFonts w:cstheme="minorHAnsi"/>
        </w:rPr>
        <w:t>For the LMLC link budget, we noticed that the value of the receiver interference density is the same as rural eMBB link budget. Was the UE distribution for the LMLC considered per M.2412?</w:t>
      </w:r>
    </w:p>
    <w:p w14:paraId="0477A3CB" w14:textId="46708D7B" w:rsidR="00ED6522" w:rsidRPr="00ED6522" w:rsidRDefault="00792051" w:rsidP="00792051">
      <w:pPr>
        <w:rPr>
          <w:rFonts w:cstheme="minorHAnsi"/>
        </w:rPr>
      </w:pPr>
      <w:r w:rsidRPr="00792051">
        <w:rPr>
          <w:rFonts w:cstheme="minorHAnsi"/>
        </w:rPr>
        <w:t>ATIS WTSC IEG has also shared this information with the other IMT-2020 IEGs, and looks forward to clarification from TSDSI or other IEGs.</w:t>
      </w:r>
      <w:bookmarkStart w:id="0" w:name="_GoBack"/>
      <w:bookmarkEnd w:id="0"/>
    </w:p>
    <w:sectPr w:rsidR="00ED6522" w:rsidRPr="00ED65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6989B" w14:textId="77777777" w:rsidR="00B73B97" w:rsidRDefault="00B73B97" w:rsidP="00922B78">
      <w:pPr>
        <w:spacing w:after="0" w:line="240" w:lineRule="auto"/>
      </w:pPr>
      <w:r>
        <w:separator/>
      </w:r>
    </w:p>
  </w:endnote>
  <w:endnote w:type="continuationSeparator" w:id="0">
    <w:p w14:paraId="3BB0E55F" w14:textId="77777777" w:rsidR="00B73B97" w:rsidRDefault="00B73B97" w:rsidP="00922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3DA47" w14:textId="77777777" w:rsidR="00B73B97" w:rsidRDefault="00B73B97" w:rsidP="00922B78">
      <w:pPr>
        <w:spacing w:after="0" w:line="240" w:lineRule="auto"/>
      </w:pPr>
      <w:r>
        <w:separator/>
      </w:r>
    </w:p>
  </w:footnote>
  <w:footnote w:type="continuationSeparator" w:id="0">
    <w:p w14:paraId="533BADA6" w14:textId="77777777" w:rsidR="00B73B97" w:rsidRDefault="00B73B97" w:rsidP="00922B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15EAE"/>
    <w:multiLevelType w:val="hybridMultilevel"/>
    <w:tmpl w:val="9F32DC8C"/>
    <w:lvl w:ilvl="0" w:tplc="3D38E15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1650C8"/>
    <w:multiLevelType w:val="hybridMultilevel"/>
    <w:tmpl w:val="7D9EBA92"/>
    <w:lvl w:ilvl="0" w:tplc="FF82BD92">
      <w:start w:val="1"/>
      <w:numFmt w:val="bullet"/>
      <w:lvlText w:val=""/>
      <w:lvlJc w:val="left"/>
      <w:pPr>
        <w:tabs>
          <w:tab w:val="num" w:pos="360"/>
        </w:tabs>
        <w:ind w:left="360" w:hanging="360"/>
      </w:pPr>
      <w:rPr>
        <w:rFonts w:ascii="Symbol" w:hAnsi="Symbol" w:hint="default"/>
      </w:rPr>
    </w:lvl>
    <w:lvl w:ilvl="1" w:tplc="1F6E2212">
      <w:start w:val="1"/>
      <w:numFmt w:val="bullet"/>
      <w:lvlText w:val="•"/>
      <w:lvlJc w:val="left"/>
      <w:pPr>
        <w:tabs>
          <w:tab w:val="num" w:pos="1080"/>
        </w:tabs>
        <w:ind w:left="1080" w:hanging="360"/>
      </w:pPr>
      <w:rPr>
        <w:rFonts w:ascii="Arial" w:hAnsi="Arial" w:hint="default"/>
      </w:rPr>
    </w:lvl>
    <w:lvl w:ilvl="2" w:tplc="4D08B22C">
      <w:numFmt w:val="none"/>
      <w:lvlText w:val=""/>
      <w:lvlJc w:val="left"/>
      <w:pPr>
        <w:tabs>
          <w:tab w:val="num" w:pos="360"/>
        </w:tabs>
      </w:pPr>
    </w:lvl>
    <w:lvl w:ilvl="3" w:tplc="EA0EC330">
      <w:numFmt w:val="none"/>
      <w:lvlText w:val=""/>
      <w:lvlJc w:val="left"/>
      <w:pPr>
        <w:tabs>
          <w:tab w:val="num" w:pos="360"/>
        </w:tabs>
      </w:pPr>
    </w:lvl>
    <w:lvl w:ilvl="4" w:tplc="9CCA9276" w:tentative="1">
      <w:start w:val="1"/>
      <w:numFmt w:val="bullet"/>
      <w:lvlText w:val="•"/>
      <w:lvlJc w:val="left"/>
      <w:pPr>
        <w:tabs>
          <w:tab w:val="num" w:pos="3240"/>
        </w:tabs>
        <w:ind w:left="3240" w:hanging="360"/>
      </w:pPr>
      <w:rPr>
        <w:rFonts w:ascii="Arial" w:hAnsi="Arial" w:hint="default"/>
      </w:rPr>
    </w:lvl>
    <w:lvl w:ilvl="5" w:tplc="529C82B8" w:tentative="1">
      <w:start w:val="1"/>
      <w:numFmt w:val="bullet"/>
      <w:lvlText w:val="•"/>
      <w:lvlJc w:val="left"/>
      <w:pPr>
        <w:tabs>
          <w:tab w:val="num" w:pos="3960"/>
        </w:tabs>
        <w:ind w:left="3960" w:hanging="360"/>
      </w:pPr>
      <w:rPr>
        <w:rFonts w:ascii="Arial" w:hAnsi="Arial" w:hint="default"/>
      </w:rPr>
    </w:lvl>
    <w:lvl w:ilvl="6" w:tplc="3CDC3270" w:tentative="1">
      <w:start w:val="1"/>
      <w:numFmt w:val="bullet"/>
      <w:lvlText w:val="•"/>
      <w:lvlJc w:val="left"/>
      <w:pPr>
        <w:tabs>
          <w:tab w:val="num" w:pos="4680"/>
        </w:tabs>
        <w:ind w:left="4680" w:hanging="360"/>
      </w:pPr>
      <w:rPr>
        <w:rFonts w:ascii="Arial" w:hAnsi="Arial" w:hint="default"/>
      </w:rPr>
    </w:lvl>
    <w:lvl w:ilvl="7" w:tplc="5240DBDA" w:tentative="1">
      <w:start w:val="1"/>
      <w:numFmt w:val="bullet"/>
      <w:lvlText w:val="•"/>
      <w:lvlJc w:val="left"/>
      <w:pPr>
        <w:tabs>
          <w:tab w:val="num" w:pos="5400"/>
        </w:tabs>
        <w:ind w:left="5400" w:hanging="360"/>
      </w:pPr>
      <w:rPr>
        <w:rFonts w:ascii="Arial" w:hAnsi="Arial" w:hint="default"/>
      </w:rPr>
    </w:lvl>
    <w:lvl w:ilvl="8" w:tplc="BA4EB580"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66A77342"/>
    <w:multiLevelType w:val="hybridMultilevel"/>
    <w:tmpl w:val="E9365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0A2C40"/>
    <w:multiLevelType w:val="hybridMultilevel"/>
    <w:tmpl w:val="BB5C4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1EF"/>
    <w:rsid w:val="000A5F88"/>
    <w:rsid w:val="000F44EC"/>
    <w:rsid w:val="0019721F"/>
    <w:rsid w:val="001C5D43"/>
    <w:rsid w:val="00285AB0"/>
    <w:rsid w:val="003C6DB4"/>
    <w:rsid w:val="00466BEC"/>
    <w:rsid w:val="004F5D6F"/>
    <w:rsid w:val="0054026A"/>
    <w:rsid w:val="00624103"/>
    <w:rsid w:val="006A5DEC"/>
    <w:rsid w:val="006D4041"/>
    <w:rsid w:val="00792051"/>
    <w:rsid w:val="00823F7C"/>
    <w:rsid w:val="00922B78"/>
    <w:rsid w:val="0093609D"/>
    <w:rsid w:val="009A0F45"/>
    <w:rsid w:val="00A702AF"/>
    <w:rsid w:val="00B73B97"/>
    <w:rsid w:val="00CD41EF"/>
    <w:rsid w:val="00CD7E5B"/>
    <w:rsid w:val="00D4068E"/>
    <w:rsid w:val="00D65501"/>
    <w:rsid w:val="00D8637F"/>
    <w:rsid w:val="00D92992"/>
    <w:rsid w:val="00DC7D03"/>
    <w:rsid w:val="00DD6158"/>
    <w:rsid w:val="00DE3B70"/>
    <w:rsid w:val="00DF3F5D"/>
    <w:rsid w:val="00E41565"/>
    <w:rsid w:val="00EA0297"/>
    <w:rsid w:val="00ED6522"/>
    <w:rsid w:val="00EE528D"/>
    <w:rsid w:val="00F85BD5"/>
    <w:rsid w:val="00FE1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8696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C7D03"/>
    <w:rPr>
      <w:color w:val="0563C1"/>
      <w:u w:val="single"/>
    </w:rPr>
  </w:style>
  <w:style w:type="paragraph" w:styleId="ListParagraph">
    <w:name w:val="List Paragraph"/>
    <w:basedOn w:val="Normal"/>
    <w:uiPriority w:val="34"/>
    <w:qFormat/>
    <w:rsid w:val="00CD7E5B"/>
    <w:pPr>
      <w:ind w:left="720"/>
      <w:contextualSpacing/>
    </w:pPr>
  </w:style>
  <w:style w:type="paragraph" w:styleId="BalloonText">
    <w:name w:val="Balloon Text"/>
    <w:basedOn w:val="Normal"/>
    <w:link w:val="BalloonTextChar"/>
    <w:uiPriority w:val="99"/>
    <w:semiHidden/>
    <w:unhideWhenUsed/>
    <w:rsid w:val="00FE16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678"/>
    <w:rPr>
      <w:rFonts w:ascii="Segoe UI" w:hAnsi="Segoe UI" w:cs="Segoe UI"/>
      <w:sz w:val="18"/>
      <w:szCs w:val="18"/>
    </w:rPr>
  </w:style>
  <w:style w:type="paragraph" w:styleId="Header">
    <w:name w:val="header"/>
    <w:basedOn w:val="Normal"/>
    <w:link w:val="HeaderChar"/>
    <w:uiPriority w:val="99"/>
    <w:unhideWhenUsed/>
    <w:rsid w:val="00922B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B78"/>
  </w:style>
  <w:style w:type="paragraph" w:styleId="Footer">
    <w:name w:val="footer"/>
    <w:basedOn w:val="Normal"/>
    <w:link w:val="FooterChar"/>
    <w:uiPriority w:val="99"/>
    <w:unhideWhenUsed/>
    <w:rsid w:val="00922B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791815">
      <w:bodyDiv w:val="1"/>
      <w:marLeft w:val="0"/>
      <w:marRight w:val="0"/>
      <w:marTop w:val="0"/>
      <w:marBottom w:val="0"/>
      <w:divBdr>
        <w:top w:val="none" w:sz="0" w:space="0" w:color="auto"/>
        <w:left w:val="none" w:sz="0" w:space="0" w:color="auto"/>
        <w:bottom w:val="none" w:sz="0" w:space="0" w:color="auto"/>
        <w:right w:val="none" w:sz="0" w:space="0" w:color="auto"/>
      </w:divBdr>
    </w:div>
    <w:div w:id="2091193896">
      <w:bodyDiv w:val="1"/>
      <w:marLeft w:val="0"/>
      <w:marRight w:val="0"/>
      <w:marTop w:val="0"/>
      <w:marBottom w:val="0"/>
      <w:divBdr>
        <w:top w:val="none" w:sz="0" w:space="0" w:color="auto"/>
        <w:left w:val="none" w:sz="0" w:space="0" w:color="auto"/>
        <w:bottom w:val="none" w:sz="0" w:space="0" w:color="auto"/>
        <w:right w:val="none" w:sz="0" w:space="0" w:color="auto"/>
      </w:divBdr>
      <w:divsChild>
        <w:div w:id="1636334689">
          <w:marLeft w:val="562"/>
          <w:marRight w:val="0"/>
          <w:marTop w:val="0"/>
          <w:marBottom w:val="0"/>
          <w:divBdr>
            <w:top w:val="none" w:sz="0" w:space="0" w:color="auto"/>
            <w:left w:val="none" w:sz="0" w:space="0" w:color="auto"/>
            <w:bottom w:val="none" w:sz="0" w:space="0" w:color="auto"/>
            <w:right w:val="none" w:sz="0" w:space="0" w:color="auto"/>
          </w:divBdr>
        </w:div>
        <w:div w:id="1323508323">
          <w:marLeft w:val="562"/>
          <w:marRight w:val="0"/>
          <w:marTop w:val="0"/>
          <w:marBottom w:val="0"/>
          <w:divBdr>
            <w:top w:val="none" w:sz="0" w:space="0" w:color="auto"/>
            <w:left w:val="none" w:sz="0" w:space="0" w:color="auto"/>
            <w:bottom w:val="none" w:sz="0" w:space="0" w:color="auto"/>
            <w:right w:val="none" w:sz="0" w:space="0" w:color="auto"/>
          </w:divBdr>
        </w:div>
        <w:div w:id="1318925157">
          <w:marLeft w:val="821"/>
          <w:marRight w:val="0"/>
          <w:marTop w:val="0"/>
          <w:marBottom w:val="0"/>
          <w:divBdr>
            <w:top w:val="none" w:sz="0" w:space="0" w:color="auto"/>
            <w:left w:val="none" w:sz="0" w:space="0" w:color="auto"/>
            <w:bottom w:val="none" w:sz="0" w:space="0" w:color="auto"/>
            <w:right w:val="none" w:sz="0" w:space="0" w:color="auto"/>
          </w:divBdr>
        </w:div>
        <w:div w:id="1884099958">
          <w:marLeft w:val="821"/>
          <w:marRight w:val="0"/>
          <w:marTop w:val="0"/>
          <w:marBottom w:val="0"/>
          <w:divBdr>
            <w:top w:val="none" w:sz="0" w:space="0" w:color="auto"/>
            <w:left w:val="none" w:sz="0" w:space="0" w:color="auto"/>
            <w:bottom w:val="none" w:sz="0" w:space="0" w:color="auto"/>
            <w:right w:val="none" w:sz="0" w:space="0" w:color="auto"/>
          </w:divBdr>
        </w:div>
        <w:div w:id="1804733077">
          <w:marLeft w:val="82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ldefense.proofpoint.com/v2/url?u=https-3A__www.itu.int_md_R15-2DWP5D-2DC-2D1301_en&amp;d=DwMGaQ&amp;c=LFYZ-o9_HUMeMTSQicvjIg&amp;r=nVSkY24jbfspC2ZZofE5Kg&amp;m=iHlrtV5AlRD51bAPgroVH3emPN40huT7quW12ZsycLY&amp;s=nHQIOv2-2UNNcaz_C4ICrdFXhdTcCzMPRKxl4CzQs7E&am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2019-11-08T15:06:00Z</dcterms:created>
  <dcterms:modified xsi:type="dcterms:W3CDTF">2019-11-12T18:28:00Z</dcterms:modified>
</cp:coreProperties>
</file>