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44DBF" w14:textId="37B0937F" w:rsidR="000E7D82" w:rsidRDefault="000E7D82" w:rsidP="00684362">
      <w:pPr>
        <w:jc w:val="center"/>
        <w:rPr>
          <w:b/>
          <w:sz w:val="28"/>
        </w:rPr>
      </w:pPr>
      <w:r w:rsidRPr="00450DEA">
        <w:rPr>
          <w:b/>
          <w:sz w:val="28"/>
        </w:rPr>
        <w:t xml:space="preserve">Questions and clarifications </w:t>
      </w:r>
      <w:r w:rsidR="00336C7B">
        <w:rPr>
          <w:b/>
          <w:sz w:val="28"/>
        </w:rPr>
        <w:t>about the</w:t>
      </w:r>
      <w:r w:rsidRPr="00450DEA">
        <w:rPr>
          <w:b/>
          <w:sz w:val="28"/>
        </w:rPr>
        <w:t xml:space="preserve"> TSDSI LMLC link budget</w:t>
      </w:r>
    </w:p>
    <w:p w14:paraId="0C173DF7" w14:textId="3CE0EAD4" w:rsidR="00833A70" w:rsidRDefault="00833A70" w:rsidP="00684362">
      <w:pPr>
        <w:jc w:val="center"/>
        <w:rPr>
          <w:b/>
          <w:sz w:val="28"/>
        </w:rPr>
      </w:pPr>
    </w:p>
    <w:p w14:paraId="1B9D8D4D" w14:textId="193F1A0F" w:rsidR="00833A70" w:rsidRPr="00D40DFE" w:rsidRDefault="00833A70" w:rsidP="00833A70">
      <w:pPr>
        <w:rPr>
          <w:bCs/>
          <w:color w:val="002060"/>
          <w:sz w:val="28"/>
        </w:rPr>
      </w:pPr>
      <w:r w:rsidRPr="00D40DFE">
        <w:rPr>
          <w:bCs/>
          <w:color w:val="002060"/>
          <w:sz w:val="28"/>
        </w:rPr>
        <w:t xml:space="preserve">We thank the CEG team for carefully evaluating the TSDSI RIT. </w:t>
      </w:r>
      <w:r w:rsidR="00285CBD" w:rsidRPr="00D40DFE">
        <w:rPr>
          <w:bCs/>
          <w:color w:val="002060"/>
          <w:sz w:val="28"/>
        </w:rPr>
        <w:t xml:space="preserve">In this document, we have provided the answers inline below each question. </w:t>
      </w:r>
    </w:p>
    <w:p w14:paraId="24B6DC27" w14:textId="2CEC9F4D" w:rsidR="000E7D82" w:rsidRDefault="000E7D82"/>
    <w:p w14:paraId="0CA80D31" w14:textId="3C4F1074" w:rsidR="000E7D82" w:rsidRDefault="000E7D82">
      <w:r>
        <w:t xml:space="preserve">Based on the latest </w:t>
      </w:r>
      <w:r w:rsidR="00DE1FA9">
        <w:t>(</w:t>
      </w:r>
      <w:r>
        <w:t>updated</w:t>
      </w:r>
      <w:r w:rsidR="00DE1FA9">
        <w:t>)</w:t>
      </w:r>
      <w:r>
        <w:t xml:space="preserve"> submission from </w:t>
      </w:r>
      <w:r w:rsidR="00DE1FA9">
        <w:t xml:space="preserve">TSDSI on </w:t>
      </w:r>
      <w:r>
        <w:t>September 10</w:t>
      </w:r>
      <w:r w:rsidRPr="000E7D82">
        <w:rPr>
          <w:vertAlign w:val="superscript"/>
        </w:rPr>
        <w:t>th</w:t>
      </w:r>
      <w:r>
        <w:t>, 2019, while evaluating the LMLC link budget</w:t>
      </w:r>
      <w:r w:rsidR="00A83357">
        <w:t>,</w:t>
      </w:r>
      <w:r>
        <w:t xml:space="preserve"> </w:t>
      </w:r>
      <w:r w:rsidR="00DE1FA9">
        <w:t>the CEG</w:t>
      </w:r>
      <w:r>
        <w:t xml:space="preserve"> noticed the following </w:t>
      </w:r>
      <w:r w:rsidR="00DE1FA9">
        <w:t>deviations</w:t>
      </w:r>
      <w:r>
        <w:t xml:space="preserve"> with regard to </w:t>
      </w:r>
      <w:r w:rsidR="00DE1FA9">
        <w:t xml:space="preserve">the </w:t>
      </w:r>
      <w:r>
        <w:t xml:space="preserve">LMLC </w:t>
      </w:r>
      <w:r w:rsidR="00DE1FA9">
        <w:t>test configuration</w:t>
      </w:r>
      <w:r>
        <w:t xml:space="preserve"> from </w:t>
      </w:r>
      <w:r w:rsidR="00DE1FA9">
        <w:t xml:space="preserve">Report </w:t>
      </w:r>
      <w:r>
        <w:t xml:space="preserve">ITU-R M.2412 </w:t>
      </w:r>
      <w:r w:rsidR="00DE1FA9">
        <w:t>(Evaluation Guidelines)</w:t>
      </w:r>
      <w:r>
        <w:t>:</w:t>
      </w:r>
    </w:p>
    <w:p w14:paraId="6026BB5B" w14:textId="04BF06EA" w:rsidR="000E7D82" w:rsidRDefault="000E7D82" w:rsidP="006E2C57">
      <w:pPr>
        <w:pStyle w:val="ListParagraph"/>
        <w:numPr>
          <w:ilvl w:val="0"/>
          <w:numId w:val="2"/>
        </w:numPr>
      </w:pPr>
      <w:r w:rsidRPr="006E2C57">
        <w:rPr>
          <w:b/>
        </w:rPr>
        <w:t>UE speed for NLOS</w:t>
      </w:r>
    </w:p>
    <w:p w14:paraId="6F594804" w14:textId="6301A751" w:rsidR="00332C51" w:rsidRPr="00205936" w:rsidRDefault="000E7D82" w:rsidP="00332C51">
      <w:pPr>
        <w:pStyle w:val="BodyText"/>
        <w:ind w:left="0"/>
        <w:rPr>
          <w:rFonts w:asciiTheme="minorHAnsi" w:hAnsiTheme="minorHAnsi" w:cstheme="minorHAnsi"/>
          <w:lang w:val="en-US"/>
        </w:rPr>
      </w:pPr>
      <w:r w:rsidRPr="000E7D82">
        <w:rPr>
          <w:rFonts w:asciiTheme="minorHAnsi" w:hAnsiTheme="minorHAnsi" w:cstheme="minorHAnsi"/>
        </w:rPr>
        <w:t xml:space="preserve">TSDSI LMLC link budget uses a UE speed of 120km/h </w:t>
      </w:r>
      <w:r w:rsidR="008F0703" w:rsidRPr="000E7D82">
        <w:rPr>
          <w:rFonts w:asciiTheme="minorHAnsi" w:hAnsiTheme="minorHAnsi" w:cstheme="minorHAnsi"/>
        </w:rPr>
        <w:t xml:space="preserve">for the NLOS scenario </w:t>
      </w:r>
      <w:r w:rsidRPr="000E7D82">
        <w:rPr>
          <w:rFonts w:asciiTheme="minorHAnsi" w:hAnsiTheme="minorHAnsi" w:cstheme="minorHAnsi"/>
        </w:rPr>
        <w:t xml:space="preserve">while LMLC </w:t>
      </w:r>
      <w:r w:rsidR="008F0703">
        <w:rPr>
          <w:rFonts w:asciiTheme="minorHAnsi" w:hAnsiTheme="minorHAnsi" w:cstheme="minorHAnsi"/>
        </w:rPr>
        <w:t>evaluation configuration</w:t>
      </w:r>
      <w:r w:rsidRPr="000E7D82">
        <w:rPr>
          <w:rFonts w:asciiTheme="minorHAnsi" w:hAnsiTheme="minorHAnsi" w:cstheme="minorHAnsi"/>
        </w:rPr>
        <w:t xml:space="preserve"> in M.2412 </w:t>
      </w:r>
      <w:r w:rsidR="008F0703">
        <w:rPr>
          <w:rFonts w:asciiTheme="minorHAnsi" w:hAnsiTheme="minorHAnsi" w:cstheme="minorHAnsi"/>
        </w:rPr>
        <w:t>requires</w:t>
      </w:r>
      <w:r w:rsidRPr="000E7D82">
        <w:rPr>
          <w:rFonts w:asciiTheme="minorHAnsi" w:hAnsiTheme="minorHAnsi" w:cstheme="minorHAnsi"/>
        </w:rPr>
        <w:t xml:space="preserve"> a UE speed of 30km/h</w:t>
      </w:r>
      <w:r w:rsidR="008F0703">
        <w:rPr>
          <w:rFonts w:asciiTheme="minorHAnsi" w:hAnsiTheme="minorHAnsi" w:cstheme="minorHAnsi"/>
        </w:rPr>
        <w:t xml:space="preserve"> (</w:t>
      </w:r>
      <w:r w:rsidR="006E2C57">
        <w:rPr>
          <w:rFonts w:asciiTheme="minorHAnsi" w:hAnsiTheme="minorHAnsi" w:cstheme="minorHAnsi"/>
        </w:rPr>
        <w:t>please refer to</w:t>
      </w:r>
      <w:r w:rsidR="008F0703">
        <w:rPr>
          <w:rFonts w:asciiTheme="minorHAnsi" w:hAnsiTheme="minorHAnsi" w:cstheme="minorHAnsi"/>
          <w:lang w:val="en-US"/>
        </w:rPr>
        <w:t xml:space="preserve"> evaluation configuration </w:t>
      </w:r>
      <w:r w:rsidR="006E2C57">
        <w:rPr>
          <w:rFonts w:asciiTheme="minorHAnsi" w:hAnsiTheme="minorHAnsi" w:cstheme="minorHAnsi"/>
          <w:lang w:val="en-US"/>
        </w:rPr>
        <w:t xml:space="preserve">C </w:t>
      </w:r>
      <w:r w:rsidR="008F0703">
        <w:rPr>
          <w:rFonts w:asciiTheme="minorHAnsi" w:hAnsiTheme="minorHAnsi" w:cstheme="minorHAnsi"/>
          <w:lang w:val="en-US"/>
        </w:rPr>
        <w:t>for RU-</w:t>
      </w:r>
      <w:proofErr w:type="spellStart"/>
      <w:r w:rsidR="008F0703">
        <w:rPr>
          <w:rFonts w:asciiTheme="minorHAnsi" w:hAnsiTheme="minorHAnsi" w:cstheme="minorHAnsi"/>
          <w:lang w:val="en-US"/>
        </w:rPr>
        <w:t>eMBB</w:t>
      </w:r>
      <w:proofErr w:type="spellEnd"/>
      <w:r w:rsidR="008F0703">
        <w:rPr>
          <w:rFonts w:asciiTheme="minorHAnsi" w:hAnsiTheme="minorHAnsi" w:cstheme="minorHAnsi"/>
          <w:lang w:val="en-US"/>
        </w:rPr>
        <w:t xml:space="preserve"> </w:t>
      </w:r>
      <w:r w:rsidR="006E2C57">
        <w:rPr>
          <w:rFonts w:asciiTheme="minorHAnsi" w:hAnsiTheme="minorHAnsi" w:cstheme="minorHAnsi"/>
          <w:lang w:val="en-US"/>
        </w:rPr>
        <w:t xml:space="preserve">in Report </w:t>
      </w:r>
      <w:r w:rsidR="00332C51" w:rsidRPr="00205936">
        <w:rPr>
          <w:rFonts w:asciiTheme="minorHAnsi" w:hAnsiTheme="minorHAnsi" w:cstheme="minorHAnsi"/>
          <w:lang w:val="en-US"/>
        </w:rPr>
        <w:t>M.2412</w:t>
      </w:r>
      <w:r w:rsidR="008F0703">
        <w:rPr>
          <w:rFonts w:asciiTheme="minorHAnsi" w:hAnsiTheme="minorHAnsi" w:cstheme="minorHAnsi"/>
          <w:lang w:val="en-US"/>
        </w:rPr>
        <w:t>)</w:t>
      </w:r>
      <w:r w:rsidR="006E2C57">
        <w:rPr>
          <w:rFonts w:asciiTheme="minorHAnsi" w:hAnsiTheme="minorHAnsi" w:cstheme="minorHAnsi"/>
          <w:lang w:val="en-US"/>
        </w:rPr>
        <w:t xml:space="preserve">. </w:t>
      </w:r>
    </w:p>
    <w:p w14:paraId="05141AEA" w14:textId="77758FF3" w:rsidR="00332C51" w:rsidRDefault="006E2C57" w:rsidP="000E7D82">
      <w:pPr>
        <w:pStyle w:val="BodyText"/>
        <w:ind w:left="0"/>
        <w:rPr>
          <w:rFonts w:asciiTheme="minorHAnsi" w:hAnsiTheme="minorHAnsi" w:cstheme="minorHAnsi"/>
          <w:lang w:val="en-US"/>
        </w:rPr>
      </w:pPr>
      <w:r w:rsidRPr="00EB4F98">
        <w:rPr>
          <w:rFonts w:asciiTheme="minorHAnsi" w:hAnsiTheme="minorHAnsi" w:cstheme="minorHAnsi"/>
          <w:b/>
          <w:lang w:val="en-US"/>
        </w:rPr>
        <w:t>Suggestion</w:t>
      </w:r>
      <w:r>
        <w:rPr>
          <w:rFonts w:asciiTheme="minorHAnsi" w:hAnsiTheme="minorHAnsi" w:cstheme="minorHAnsi"/>
          <w:lang w:val="en-US"/>
        </w:rPr>
        <w:t xml:space="preserve">: While the effect on delay spread and doppler may not be significant, the CEG recommends that TSDSI change the UE speed to 30 km/h. </w:t>
      </w:r>
    </w:p>
    <w:p w14:paraId="74205349" w14:textId="387C2C9D" w:rsidR="00833A70" w:rsidRDefault="00833A70" w:rsidP="000E7D82">
      <w:pPr>
        <w:pStyle w:val="BodyText"/>
        <w:ind w:left="0"/>
        <w:rPr>
          <w:rFonts w:asciiTheme="minorHAnsi" w:hAnsiTheme="minorHAnsi" w:cstheme="minorHAnsi"/>
          <w:lang w:val="en-US"/>
        </w:rPr>
      </w:pPr>
    </w:p>
    <w:p w14:paraId="0EC859E1" w14:textId="62FCCA97" w:rsidR="00A06BFE" w:rsidRPr="00AA76AA" w:rsidRDefault="00A06BFE" w:rsidP="000E7D82">
      <w:pPr>
        <w:pStyle w:val="BodyText"/>
        <w:ind w:left="0"/>
        <w:rPr>
          <w:rFonts w:asciiTheme="minorHAnsi" w:hAnsiTheme="minorHAnsi" w:cstheme="minorHAnsi"/>
          <w:i/>
          <w:iCs/>
          <w:color w:val="002060"/>
          <w:lang w:val="en-US"/>
        </w:rPr>
      </w:pPr>
      <w:r w:rsidRPr="00AA76AA">
        <w:rPr>
          <w:rFonts w:asciiTheme="minorHAnsi" w:hAnsiTheme="minorHAnsi" w:cstheme="minorHAnsi"/>
          <w:i/>
          <w:iCs/>
          <w:color w:val="002060"/>
          <w:lang w:val="en-US"/>
        </w:rPr>
        <w:t>Answer: This is a typographical error only in the LMLC link budget sheet</w:t>
      </w:r>
      <w:r w:rsidR="003A59F0" w:rsidRPr="00AA76AA">
        <w:rPr>
          <w:rFonts w:asciiTheme="minorHAnsi" w:hAnsiTheme="minorHAnsi" w:cstheme="minorHAnsi"/>
          <w:i/>
          <w:iCs/>
          <w:color w:val="002060"/>
          <w:lang w:val="en-US"/>
        </w:rPr>
        <w:t xml:space="preserve"> and should read as 30</w:t>
      </w:r>
      <w:r w:rsidR="00C54CCC">
        <w:rPr>
          <w:rFonts w:asciiTheme="minorHAnsi" w:hAnsiTheme="minorHAnsi" w:cstheme="minorHAnsi"/>
          <w:i/>
          <w:iCs/>
          <w:color w:val="002060"/>
          <w:lang w:val="en-US"/>
        </w:rPr>
        <w:t xml:space="preserve"> </w:t>
      </w:r>
      <w:r w:rsidR="003A59F0" w:rsidRPr="00AA76AA">
        <w:rPr>
          <w:rFonts w:asciiTheme="minorHAnsi" w:hAnsiTheme="minorHAnsi" w:cstheme="minorHAnsi"/>
          <w:i/>
          <w:iCs/>
          <w:color w:val="002060"/>
          <w:lang w:val="en-US"/>
        </w:rPr>
        <w:t>km/</w:t>
      </w:r>
      <w:r w:rsidR="00601EF4">
        <w:rPr>
          <w:rFonts w:asciiTheme="minorHAnsi" w:hAnsiTheme="minorHAnsi" w:cstheme="minorHAnsi"/>
          <w:i/>
          <w:iCs/>
          <w:color w:val="002060"/>
          <w:lang w:val="en-US"/>
        </w:rPr>
        <w:t xml:space="preserve">h. </w:t>
      </w:r>
      <w:r w:rsidRPr="00AA76AA">
        <w:rPr>
          <w:rFonts w:asciiTheme="minorHAnsi" w:hAnsiTheme="minorHAnsi" w:cstheme="minorHAnsi"/>
          <w:i/>
          <w:iCs/>
          <w:color w:val="002060"/>
          <w:lang w:val="en-US"/>
        </w:rPr>
        <w:t>In the self-evaluation we have used the exact LMLC configuration as per M.2412.</w:t>
      </w:r>
      <w:r w:rsidR="003A59F0" w:rsidRPr="00AA76AA">
        <w:rPr>
          <w:rFonts w:asciiTheme="minorHAnsi" w:hAnsiTheme="minorHAnsi" w:cstheme="minorHAnsi"/>
          <w:i/>
          <w:iCs/>
          <w:color w:val="002060"/>
          <w:lang w:val="en-US"/>
        </w:rPr>
        <w:t xml:space="preserve"> </w:t>
      </w:r>
      <w:r w:rsidRPr="00AA76AA">
        <w:rPr>
          <w:rFonts w:asciiTheme="minorHAnsi" w:hAnsiTheme="minorHAnsi" w:cstheme="minorHAnsi"/>
          <w:i/>
          <w:iCs/>
          <w:color w:val="002060"/>
          <w:lang w:val="en-US"/>
        </w:rPr>
        <w:t xml:space="preserve"> We thank CEG for point</w:t>
      </w:r>
      <w:r w:rsidR="00955509">
        <w:rPr>
          <w:rFonts w:asciiTheme="minorHAnsi" w:hAnsiTheme="minorHAnsi" w:cstheme="minorHAnsi"/>
          <w:i/>
          <w:iCs/>
          <w:color w:val="002060"/>
          <w:lang w:val="en-US"/>
        </w:rPr>
        <w:t>ing out</w:t>
      </w:r>
      <w:r w:rsidRPr="00AA76AA">
        <w:rPr>
          <w:rFonts w:asciiTheme="minorHAnsi" w:hAnsiTheme="minorHAnsi" w:cstheme="minorHAnsi"/>
          <w:i/>
          <w:iCs/>
          <w:color w:val="002060"/>
          <w:lang w:val="en-US"/>
        </w:rPr>
        <w:t xml:space="preserve"> this</w:t>
      </w:r>
      <w:r w:rsidR="00955509">
        <w:rPr>
          <w:rFonts w:asciiTheme="minorHAnsi" w:hAnsiTheme="minorHAnsi" w:cstheme="minorHAnsi"/>
          <w:i/>
          <w:iCs/>
          <w:color w:val="002060"/>
          <w:lang w:val="en-US"/>
        </w:rPr>
        <w:t xml:space="preserve"> error. </w:t>
      </w:r>
    </w:p>
    <w:p w14:paraId="2C64F24F" w14:textId="77777777" w:rsidR="00833A70" w:rsidRDefault="00833A70" w:rsidP="000E7D82">
      <w:pPr>
        <w:pStyle w:val="BodyText"/>
        <w:ind w:left="0"/>
        <w:rPr>
          <w:rFonts w:asciiTheme="minorHAnsi" w:hAnsiTheme="minorHAnsi" w:cstheme="minorHAnsi"/>
          <w:lang w:val="en-US"/>
        </w:rPr>
      </w:pPr>
    </w:p>
    <w:p w14:paraId="5984914C" w14:textId="1488B62B" w:rsidR="009C36A4" w:rsidRPr="006E2C57" w:rsidRDefault="0036795D" w:rsidP="006E2C57">
      <w:pPr>
        <w:pStyle w:val="Heading2"/>
        <w:numPr>
          <w:ilvl w:val="0"/>
          <w:numId w:val="2"/>
        </w:numPr>
        <w:rPr>
          <w:rFonts w:asciiTheme="minorHAnsi" w:eastAsiaTheme="minorHAnsi" w:hAnsiTheme="minorHAnsi" w:cstheme="minorBidi"/>
          <w:b/>
          <w:kern w:val="0"/>
          <w:sz w:val="22"/>
          <w:szCs w:val="22"/>
          <w:lang w:val="en-US"/>
        </w:rPr>
      </w:pPr>
      <w:r w:rsidRPr="006E2C57">
        <w:rPr>
          <w:rFonts w:asciiTheme="minorHAnsi" w:eastAsiaTheme="minorHAnsi" w:hAnsiTheme="minorHAnsi" w:cstheme="minorBidi"/>
          <w:b/>
          <w:kern w:val="0"/>
          <w:sz w:val="22"/>
          <w:szCs w:val="22"/>
          <w:lang w:val="en-US"/>
        </w:rPr>
        <w:t>Cell range calculation</w:t>
      </w:r>
    </w:p>
    <w:p w14:paraId="4DC6E5BA" w14:textId="072FFC3A" w:rsidR="009C36A4" w:rsidRPr="009C36A4" w:rsidRDefault="00525F0D" w:rsidP="009C36A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CEG</w:t>
      </w:r>
      <w:r w:rsidR="009C36A4" w:rsidRPr="009C36A4">
        <w:rPr>
          <w:rFonts w:asciiTheme="minorHAnsi" w:hAnsiTheme="minorHAnsi" w:cstheme="minorHAnsi"/>
        </w:rPr>
        <w:t xml:space="preserve"> noticed that </w:t>
      </w:r>
      <w:r w:rsidR="006E2C57">
        <w:rPr>
          <w:rFonts w:asciiTheme="minorHAnsi" w:hAnsiTheme="minorHAnsi" w:cstheme="minorHAnsi"/>
        </w:rPr>
        <w:t>two gains, one of 3 dB and another of</w:t>
      </w:r>
      <w:r>
        <w:rPr>
          <w:rFonts w:asciiTheme="minorHAnsi" w:hAnsiTheme="minorHAnsi" w:cstheme="minorHAnsi"/>
        </w:rPr>
        <w:t xml:space="preserve"> </w:t>
      </w:r>
      <w:r w:rsidR="009C36A4" w:rsidRPr="009C36A4">
        <w:rPr>
          <w:rFonts w:asciiTheme="minorHAnsi" w:hAnsiTheme="minorHAnsi" w:cstheme="minorHAnsi"/>
          <w:highlight w:val="yellow"/>
        </w:rPr>
        <w:t>12dB</w:t>
      </w:r>
      <w:r w:rsidR="009C36A4" w:rsidRPr="009C36A4">
        <w:rPr>
          <w:rFonts w:asciiTheme="minorHAnsi" w:hAnsiTheme="minorHAnsi" w:cstheme="minorHAnsi"/>
        </w:rPr>
        <w:t xml:space="preserve"> gain ha</w:t>
      </w:r>
      <w:r w:rsidR="006E2C57">
        <w:rPr>
          <w:rFonts w:asciiTheme="minorHAnsi" w:hAnsiTheme="minorHAnsi" w:cstheme="minorHAnsi"/>
        </w:rPr>
        <w:t>ve</w:t>
      </w:r>
      <w:r w:rsidR="009C36A4" w:rsidRPr="009C36A4">
        <w:rPr>
          <w:rFonts w:asciiTheme="minorHAnsi" w:hAnsiTheme="minorHAnsi" w:cstheme="minorHAnsi"/>
        </w:rPr>
        <w:t xml:space="preserve"> been employed in the link budget template</w:t>
      </w:r>
      <w:r w:rsidR="00F73908">
        <w:rPr>
          <w:rFonts w:asciiTheme="minorHAnsi" w:hAnsiTheme="minorHAnsi" w:cstheme="minorHAnsi"/>
        </w:rPr>
        <w:t xml:space="preserve"> </w:t>
      </w:r>
      <w:r w:rsidR="009C36A4" w:rsidRPr="009C36A4">
        <w:rPr>
          <w:rFonts w:asciiTheme="minorHAnsi" w:hAnsiTheme="minorHAnsi" w:cstheme="minorHAnsi"/>
        </w:rPr>
        <w:t>for LMLC as follows:</w:t>
      </w:r>
    </w:p>
    <w:p w14:paraId="6267F798" w14:textId="6F06D0B7" w:rsidR="009C36A4" w:rsidRPr="009C36A4" w:rsidRDefault="006E2C57" w:rsidP="009C36A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LMLC: </w:t>
      </w:r>
    </w:p>
    <w:p w14:paraId="4992790E" w14:textId="77777777" w:rsidR="009C36A4" w:rsidRPr="009C36A4" w:rsidRDefault="009C36A4" w:rsidP="009C36A4">
      <w:pPr>
        <w:rPr>
          <w:rFonts w:cstheme="minorHAnsi"/>
        </w:rPr>
      </w:pPr>
      <w:r w:rsidRPr="009C36A4">
        <w:rPr>
          <w:rFonts w:cstheme="minorHAnsi"/>
        </w:rPr>
        <w:t>10^(</w:t>
      </w:r>
      <w:r w:rsidRPr="006E2C57">
        <w:rPr>
          <w:rFonts w:cstheme="minorHAnsi"/>
          <w:highlight w:val="green"/>
        </w:rPr>
        <w:t>3</w:t>
      </w:r>
      <w:r w:rsidRPr="009C36A4">
        <w:rPr>
          <w:rFonts w:cstheme="minorHAnsi"/>
        </w:rPr>
        <w:t>+(F63-161.04+</w:t>
      </w:r>
      <w:r w:rsidRPr="009C36A4">
        <w:rPr>
          <w:rFonts w:cstheme="minorHAnsi"/>
          <w:highlight w:val="yellow"/>
        </w:rPr>
        <w:t>12</w:t>
      </w:r>
      <w:r w:rsidRPr="009C36A4">
        <w:rPr>
          <w:rFonts w:cstheme="minorHAnsi"/>
        </w:rPr>
        <w:t>+7.1*LOG10(20)-7.5*LOG10(5)+(24.37-3.7*(5/F$5)^2)*LOG10(F$5)-20*LOG10(F$4)+(3.2*(LOG10(11.75*F$6))^2-4.97))/(43.42-3.1*LOG10(F$5)))</w:t>
      </w:r>
    </w:p>
    <w:p w14:paraId="5658FB56" w14:textId="538D62DA" w:rsidR="009C36A4" w:rsidRPr="009C36A4" w:rsidRDefault="006E2C57" w:rsidP="009C36A4">
      <w:pPr>
        <w:pStyle w:val="BodyText"/>
        <w:ind w:left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3GPP:</w:t>
      </w:r>
    </w:p>
    <w:p w14:paraId="2EAEFE5D" w14:textId="7C19F317" w:rsidR="009C36A4" w:rsidRDefault="009C36A4" w:rsidP="009C36A4">
      <w:pPr>
        <w:rPr>
          <w:rFonts w:cstheme="minorHAnsi"/>
        </w:rPr>
      </w:pPr>
      <w:r w:rsidRPr="009C36A4">
        <w:rPr>
          <w:rFonts w:cstheme="minorHAnsi"/>
        </w:rPr>
        <w:t>10^((F62-161.04+7.1*LOG10(20)-7.5*LOG10(5)+(24.37-3.7*(5/F$5)^2)*LOG10(F$5)-20*LOG10(F$4)+(3.2*(LOG10(11.75*F$6)^2)-4.97))/(43.42-3.1*LOG10(F$5))+</w:t>
      </w:r>
      <w:r w:rsidRPr="009C36A4">
        <w:rPr>
          <w:rFonts w:cstheme="minorHAnsi"/>
          <w:highlight w:val="green"/>
        </w:rPr>
        <w:t>3</w:t>
      </w:r>
      <w:r w:rsidRPr="009C36A4">
        <w:rPr>
          <w:rFonts w:cstheme="minorHAnsi"/>
        </w:rPr>
        <w:t>)</w:t>
      </w:r>
    </w:p>
    <w:p w14:paraId="0A8FB2F8" w14:textId="5ABFEF51" w:rsidR="0036795D" w:rsidRPr="006E2C57" w:rsidRDefault="008342EA" w:rsidP="00EB4F98">
      <w:pPr>
        <w:pStyle w:val="ListParagraph"/>
        <w:numPr>
          <w:ilvl w:val="1"/>
          <w:numId w:val="2"/>
        </w:numPr>
        <w:rPr>
          <w:rFonts w:cstheme="minorHAnsi"/>
        </w:rPr>
      </w:pPr>
      <w:r w:rsidRPr="006E2C57">
        <w:rPr>
          <w:rFonts w:cstheme="minorHAnsi"/>
        </w:rPr>
        <w:t xml:space="preserve">For </w:t>
      </w:r>
      <w:r w:rsidR="006E2C57">
        <w:rPr>
          <w:rFonts w:cstheme="minorHAnsi"/>
        </w:rPr>
        <w:t xml:space="preserve">the </w:t>
      </w:r>
      <w:r w:rsidRPr="006E2C57">
        <w:rPr>
          <w:rFonts w:cstheme="minorHAnsi"/>
        </w:rPr>
        <w:t xml:space="preserve">3dB that </w:t>
      </w:r>
      <w:r w:rsidR="006E2C57">
        <w:rPr>
          <w:rFonts w:cstheme="minorHAnsi"/>
        </w:rPr>
        <w:t>was</w:t>
      </w:r>
      <w:r w:rsidRPr="006E2C57">
        <w:rPr>
          <w:rFonts w:cstheme="minorHAnsi"/>
        </w:rPr>
        <w:t xml:space="preserve"> added at the beginning of the formula</w:t>
      </w:r>
      <w:r w:rsidR="00EB4F98">
        <w:rPr>
          <w:rFonts w:cstheme="minorHAnsi"/>
        </w:rPr>
        <w:t>, the CEG was able to reconcile it during the cell-range</w:t>
      </w:r>
      <w:r w:rsidRPr="006E2C57">
        <w:rPr>
          <w:rFonts w:cstheme="minorHAnsi"/>
        </w:rPr>
        <w:t xml:space="preserve"> </w:t>
      </w:r>
      <w:r w:rsidR="00EB4F98">
        <w:rPr>
          <w:rFonts w:cstheme="minorHAnsi"/>
        </w:rPr>
        <w:t>(</w:t>
      </w:r>
      <w:r w:rsidRPr="006E2C57">
        <w:rPr>
          <w:i/>
          <w:iCs/>
        </w:rPr>
        <w:t>d</w:t>
      </w:r>
      <w:r w:rsidRPr="006E2C57">
        <w:rPr>
          <w:i/>
          <w:vertAlign w:val="subscript"/>
        </w:rPr>
        <w:t>3D</w:t>
      </w:r>
      <w:r w:rsidR="00EB4F98" w:rsidRPr="00EB4F98">
        <w:rPr>
          <w:i/>
        </w:rPr>
        <w:t>)</w:t>
      </w:r>
      <w:r w:rsidRPr="006E2C57">
        <w:rPr>
          <w:rFonts w:cstheme="minorHAnsi"/>
        </w:rPr>
        <w:t xml:space="preserve"> calculation:</w:t>
      </w:r>
    </w:p>
    <w:p w14:paraId="214B570D" w14:textId="77777777" w:rsidR="0036795D" w:rsidRDefault="0036795D" w:rsidP="00EB4F98">
      <w:pPr>
        <w:pStyle w:val="Tabletext"/>
        <w:ind w:left="1418"/>
        <w:rPr>
          <w:rFonts w:eastAsia="Calibri"/>
        </w:rPr>
      </w:pPr>
      <w:proofErr w:type="spellStart"/>
      <w:r>
        <w:rPr>
          <w:i/>
          <w:iCs/>
        </w:rPr>
        <w:t>PL</w:t>
      </w:r>
      <w:r>
        <w:rPr>
          <w:iCs/>
          <w:vertAlign w:val="subscript"/>
        </w:rPr>
        <w:t>RMa</w:t>
      </w:r>
      <w:proofErr w:type="spellEnd"/>
      <w:r>
        <w:rPr>
          <w:iCs/>
          <w:vertAlign w:val="subscript"/>
        </w:rPr>
        <w:t>-NLOS</w:t>
      </w:r>
      <w:r>
        <w:t xml:space="preserve"> = 161.04 – 7.1 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W</w:t>
      </w:r>
      <w:r>
        <w:t>) + 7.5 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h</w:t>
      </w:r>
      <w:r>
        <w:t>) – (24.37 – 3.7(</w:t>
      </w:r>
      <w:r>
        <w:rPr>
          <w:i/>
          <w:iCs/>
        </w:rPr>
        <w:t>h</w:t>
      </w:r>
      <w:r>
        <w:t>/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</w:t>
      </w:r>
      <w:r>
        <w:rPr>
          <w:vertAlign w:val="superscript"/>
        </w:rPr>
        <w:t>2</w:t>
      </w:r>
      <w:r>
        <w:t>)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 + (43.42 – 3.1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)) (log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d</w:t>
      </w:r>
      <w:r>
        <w:rPr>
          <w:i/>
          <w:vertAlign w:val="subscript"/>
        </w:rPr>
        <w:t>3D</w:t>
      </w:r>
      <w:r>
        <w:rPr>
          <w:i/>
          <w:iCs/>
        </w:rPr>
        <w:t>)-3)</w:t>
      </w:r>
      <w:r>
        <w:t xml:space="preserve"> +</w:t>
      </w:r>
      <w:r>
        <w:rPr>
          <w:lang w:eastAsia="zh-CN"/>
        </w:rPr>
        <w:t xml:space="preserve"> </w:t>
      </w:r>
      <w:r>
        <w:t>20 log</w:t>
      </w:r>
      <w:r>
        <w:rPr>
          <w:vertAlign w:val="subscript"/>
        </w:rPr>
        <w:t>10</w:t>
      </w:r>
      <w:r>
        <w:t>(</w:t>
      </w:r>
      <w:r>
        <w:rPr>
          <w:i/>
          <w:iCs/>
        </w:rPr>
        <w:t>f</w:t>
      </w:r>
      <w:r>
        <w:rPr>
          <w:rFonts w:eastAsia="MS Mincho"/>
          <w:i/>
          <w:iCs/>
          <w:vertAlign w:val="subscript"/>
        </w:rPr>
        <w:t>c</w:t>
      </w:r>
      <w:r>
        <w:t>) – (3.2 (log</w:t>
      </w:r>
      <w:r>
        <w:rPr>
          <w:vertAlign w:val="subscript"/>
        </w:rPr>
        <w:t>10</w:t>
      </w:r>
      <w:r>
        <w:t xml:space="preserve"> (11.75 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UT</w:t>
      </w:r>
      <w:proofErr w:type="spellEnd"/>
      <w:r>
        <w:t>))</w:t>
      </w:r>
      <w:r>
        <w:rPr>
          <w:vertAlign w:val="superscript"/>
        </w:rPr>
        <w:t xml:space="preserve"> 2</w:t>
      </w:r>
      <w:r>
        <w:t xml:space="preserve"> - 4.97)</w:t>
      </w:r>
      <w:r>
        <w:rPr>
          <w:rFonts w:eastAsia="Calibri"/>
        </w:rPr>
        <w:t xml:space="preserve">, </w:t>
      </w:r>
      <w:r w:rsidR="001E1DD2" w:rsidRPr="001E1DD2">
        <w:rPr>
          <w:rFonts w:eastAsiaTheme="minorEastAsia"/>
          <w:noProof/>
          <w:kern w:val="2"/>
          <w:position w:val="-12"/>
          <w:lang w:val="en-GB" w:eastAsia="zh-CN"/>
        </w:rPr>
        <w:object w:dxaOrig="720" w:dyaOrig="420" w14:anchorId="49461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36.45pt;height:21.4pt;mso-width-percent:0;mso-height-percent:0;mso-width-percent:0;mso-height-percent:0" o:ole="">
            <v:imagedata r:id="rId8" o:title=""/>
          </v:shape>
          <o:OLEObject Type="Embed" ProgID="Equation.DSMT4" ShapeID="_x0000_i1036" DrawAspect="Content" ObjectID="_1632985056" r:id="rId9"/>
        </w:object>
      </w:r>
      <w:r>
        <w:rPr>
          <w:rFonts w:eastAsiaTheme="minorEastAsia" w:cstheme="minorBidi"/>
          <w:kern w:val="2"/>
          <w:szCs w:val="22"/>
          <w:lang w:eastAsia="zh-CN"/>
        </w:rPr>
        <w:t xml:space="preserve"> dB</w:t>
      </w:r>
      <w:r>
        <w:rPr>
          <w:rFonts w:eastAsia="Calibri"/>
        </w:rPr>
        <w:t xml:space="preserve"> for </w:t>
      </w:r>
      <w:r>
        <w:t xml:space="preserve">10 m &lt; </w:t>
      </w:r>
      <w:r>
        <w:rPr>
          <w:i/>
        </w:rPr>
        <w:t>d</w:t>
      </w:r>
      <w:r>
        <w:rPr>
          <w:i/>
          <w:vertAlign w:val="subscript"/>
        </w:rPr>
        <w:t>2D</w:t>
      </w:r>
      <w:r>
        <w:t xml:space="preserve"> &lt; </w:t>
      </w:r>
      <w:r>
        <w:rPr>
          <w:lang w:eastAsia="zh-CN"/>
        </w:rPr>
        <w:t>21</w:t>
      </w:r>
      <w:r>
        <w:t xml:space="preserve"> km.</w:t>
      </w:r>
    </w:p>
    <w:p w14:paraId="56872AF7" w14:textId="18126432" w:rsidR="0036795D" w:rsidRDefault="008342EA" w:rsidP="00EB4F98">
      <w:pPr>
        <w:ind w:left="1418"/>
      </w:pPr>
      <w:r>
        <w:lastRenderedPageBreak/>
        <w:t xml:space="preserve"> (43.42 – 3.1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)) (log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d</w:t>
      </w:r>
      <w:r>
        <w:rPr>
          <w:i/>
          <w:vertAlign w:val="subscript"/>
        </w:rPr>
        <w:t>3D</w:t>
      </w:r>
      <w:r>
        <w:rPr>
          <w:i/>
          <w:iCs/>
        </w:rPr>
        <w:t>)-</w:t>
      </w:r>
      <w:r w:rsidRPr="008342EA">
        <w:rPr>
          <w:i/>
          <w:iCs/>
          <w:highlight w:val="green"/>
        </w:rPr>
        <w:t>3</w:t>
      </w:r>
      <w:r>
        <w:rPr>
          <w:i/>
          <w:iCs/>
        </w:rPr>
        <w:t xml:space="preserve">) = </w:t>
      </w:r>
      <w:proofErr w:type="spellStart"/>
      <w:r>
        <w:rPr>
          <w:i/>
          <w:iCs/>
        </w:rPr>
        <w:t>PL</w:t>
      </w:r>
      <w:r>
        <w:rPr>
          <w:iCs/>
          <w:vertAlign w:val="subscript"/>
        </w:rPr>
        <w:t>RMa</w:t>
      </w:r>
      <w:proofErr w:type="spellEnd"/>
      <w:r>
        <w:rPr>
          <w:iCs/>
          <w:vertAlign w:val="subscript"/>
        </w:rPr>
        <w:t>-NLOS</w:t>
      </w:r>
      <w:r>
        <w:t>-(161.04 – 7.1 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W</w:t>
      </w:r>
      <w:r>
        <w:t>) + 7.5 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h</w:t>
      </w:r>
      <w:r>
        <w:t>) – (24.37 – 3.7(</w:t>
      </w:r>
      <w:r>
        <w:rPr>
          <w:i/>
          <w:iCs/>
        </w:rPr>
        <w:t>h</w:t>
      </w:r>
      <w:r>
        <w:t>/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</w:t>
      </w:r>
      <w:r>
        <w:rPr>
          <w:vertAlign w:val="superscript"/>
        </w:rPr>
        <w:t>2</w:t>
      </w:r>
      <w:r>
        <w:t>)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 +</w:t>
      </w:r>
      <w:r>
        <w:rPr>
          <w:lang w:eastAsia="zh-CN"/>
        </w:rPr>
        <w:t xml:space="preserve"> </w:t>
      </w:r>
      <w:r>
        <w:t>20 log</w:t>
      </w:r>
      <w:r>
        <w:rPr>
          <w:vertAlign w:val="subscript"/>
        </w:rPr>
        <w:t>10</w:t>
      </w:r>
      <w:r>
        <w:t>(</w:t>
      </w:r>
      <w:r>
        <w:rPr>
          <w:i/>
          <w:iCs/>
        </w:rPr>
        <w:t>f</w:t>
      </w:r>
      <w:r>
        <w:rPr>
          <w:rFonts w:eastAsia="MS Mincho"/>
          <w:i/>
          <w:iCs/>
          <w:vertAlign w:val="subscript"/>
        </w:rPr>
        <w:t>c</w:t>
      </w:r>
      <w:r>
        <w:t>) – (3.2 (log</w:t>
      </w:r>
      <w:r>
        <w:rPr>
          <w:vertAlign w:val="subscript"/>
        </w:rPr>
        <w:t>10</w:t>
      </w:r>
      <w:r>
        <w:t xml:space="preserve"> (11.75 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UT</w:t>
      </w:r>
      <w:proofErr w:type="spellEnd"/>
      <w:r>
        <w:t>))</w:t>
      </w:r>
      <w:r>
        <w:rPr>
          <w:vertAlign w:val="superscript"/>
        </w:rPr>
        <w:t xml:space="preserve"> 2</w:t>
      </w:r>
      <w:r>
        <w:t xml:space="preserve"> - 4.97) = A</w:t>
      </w:r>
    </w:p>
    <w:p w14:paraId="149A95AD" w14:textId="48C8D505" w:rsidR="008342EA" w:rsidRPr="008342EA" w:rsidRDefault="00EB4F98" w:rsidP="00EB4F98">
      <w:pPr>
        <w:ind w:left="1418"/>
        <w:rPr>
          <w:iCs/>
        </w:rPr>
      </w:pPr>
      <w:r>
        <w:rPr>
          <w:iCs/>
        </w:rPr>
        <w:t>Replacing the expression by</w:t>
      </w:r>
      <w:r w:rsidR="008342EA" w:rsidRPr="008342EA">
        <w:rPr>
          <w:iCs/>
        </w:rPr>
        <w:t xml:space="preserve"> A to make it easier:</w:t>
      </w:r>
    </w:p>
    <w:p w14:paraId="00E49452" w14:textId="42F3D5B0" w:rsidR="008342EA" w:rsidRDefault="008342EA" w:rsidP="00EB4F98">
      <w:pPr>
        <w:ind w:left="1418"/>
      </w:pPr>
      <w:r>
        <w:t>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d</w:t>
      </w:r>
      <w:r>
        <w:rPr>
          <w:i/>
          <w:vertAlign w:val="subscript"/>
        </w:rPr>
        <w:t>3D</w:t>
      </w:r>
      <w:r>
        <w:rPr>
          <w:i/>
          <w:iCs/>
        </w:rPr>
        <w:t>)-</w:t>
      </w:r>
      <w:r w:rsidRPr="00EB4F98">
        <w:rPr>
          <w:i/>
          <w:iCs/>
          <w:highlight w:val="green"/>
        </w:rPr>
        <w:t>3</w:t>
      </w:r>
      <w:r>
        <w:rPr>
          <w:i/>
          <w:iCs/>
        </w:rPr>
        <w:t xml:space="preserve"> = A</w:t>
      </w:r>
      <w:proofErr w:type="gramStart"/>
      <w:r>
        <w:rPr>
          <w:i/>
          <w:iCs/>
        </w:rPr>
        <w:t>/</w:t>
      </w:r>
      <w:r>
        <w:t>(</w:t>
      </w:r>
      <w:proofErr w:type="gramEnd"/>
      <w:r>
        <w:t>43.42 – 3.1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))</w:t>
      </w:r>
    </w:p>
    <w:p w14:paraId="1F5988CC" w14:textId="305E9D7F" w:rsidR="008342EA" w:rsidRDefault="008342EA" w:rsidP="00EB4F98">
      <w:pPr>
        <w:ind w:left="1418"/>
      </w:pPr>
      <w:r>
        <w:t>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d</w:t>
      </w:r>
      <w:r>
        <w:rPr>
          <w:i/>
          <w:vertAlign w:val="subscript"/>
        </w:rPr>
        <w:t>3D</w:t>
      </w:r>
      <w:r>
        <w:rPr>
          <w:i/>
          <w:iCs/>
        </w:rPr>
        <w:t>) = A</w:t>
      </w:r>
      <w:proofErr w:type="gramStart"/>
      <w:r>
        <w:rPr>
          <w:i/>
          <w:iCs/>
        </w:rPr>
        <w:t>/</w:t>
      </w:r>
      <w:r>
        <w:t>(</w:t>
      </w:r>
      <w:proofErr w:type="gramEnd"/>
      <w:r>
        <w:t>43.42 – 3.1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)) +</w:t>
      </w:r>
      <w:r w:rsidRPr="00EB4F98">
        <w:rPr>
          <w:highlight w:val="green"/>
        </w:rPr>
        <w:t>3</w:t>
      </w:r>
      <w:r>
        <w:t xml:space="preserve"> </w:t>
      </w:r>
    </w:p>
    <w:p w14:paraId="24D171DC" w14:textId="4139A0C9" w:rsidR="008342EA" w:rsidRDefault="008342EA" w:rsidP="004E6971">
      <w:pPr>
        <w:spacing w:after="0"/>
        <w:ind w:left="1411"/>
      </w:pPr>
      <w:r>
        <w:rPr>
          <w:i/>
          <w:iCs/>
        </w:rPr>
        <w:t>d</w:t>
      </w:r>
      <w:r>
        <w:rPr>
          <w:i/>
          <w:vertAlign w:val="subscript"/>
        </w:rPr>
        <w:t xml:space="preserve">3D </w:t>
      </w:r>
      <w:r>
        <w:rPr>
          <w:i/>
          <w:iCs/>
        </w:rPr>
        <w:t>= 10</w:t>
      </w:r>
      <w:proofErr w:type="gramStart"/>
      <w:r>
        <w:rPr>
          <w:i/>
          <w:iCs/>
        </w:rPr>
        <w:t>^[</w:t>
      </w:r>
      <w:proofErr w:type="gramEnd"/>
      <w:r>
        <w:rPr>
          <w:i/>
          <w:iCs/>
        </w:rPr>
        <w:t>A/</w:t>
      </w:r>
      <w:r>
        <w:t>(43.42 – 3.1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)) +</w:t>
      </w:r>
      <w:r w:rsidRPr="00EB4F98">
        <w:rPr>
          <w:highlight w:val="green"/>
        </w:rPr>
        <w:t>3</w:t>
      </w:r>
      <w:r>
        <w:t xml:space="preserve">] </w:t>
      </w:r>
    </w:p>
    <w:p w14:paraId="493F57AF" w14:textId="687AC01E" w:rsidR="009C36A4" w:rsidRPr="009C36A4" w:rsidRDefault="00EB4F98" w:rsidP="004E6971">
      <w:pPr>
        <w:pStyle w:val="BodyText"/>
        <w:numPr>
          <w:ilvl w:val="1"/>
          <w:numId w:val="2"/>
        </w:numPr>
        <w:spacing w:before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Unfortunately, the CEG was not able to reconcile </w:t>
      </w:r>
      <w:r w:rsidR="00372130">
        <w:rPr>
          <w:rFonts w:asciiTheme="minorHAnsi" w:hAnsiTheme="minorHAnsi" w:cstheme="minorHAnsi"/>
          <w:lang w:val="en-US"/>
        </w:rPr>
        <w:t>th</w:t>
      </w:r>
      <w:r>
        <w:rPr>
          <w:rFonts w:asciiTheme="minorHAnsi" w:hAnsiTheme="minorHAnsi" w:cstheme="minorHAnsi"/>
          <w:lang w:val="en-US"/>
        </w:rPr>
        <w:t>e</w:t>
      </w:r>
      <w:r w:rsidR="00372130">
        <w:rPr>
          <w:rFonts w:asciiTheme="minorHAnsi" w:hAnsiTheme="minorHAnsi" w:cstheme="minorHAnsi"/>
          <w:lang w:val="en-US"/>
        </w:rPr>
        <w:t xml:space="preserve"> 12dB gain </w:t>
      </w:r>
      <w:r>
        <w:rPr>
          <w:rFonts w:asciiTheme="minorHAnsi" w:hAnsiTheme="minorHAnsi" w:cstheme="minorHAnsi"/>
          <w:lang w:val="en-US"/>
        </w:rPr>
        <w:t>factor</w:t>
      </w:r>
      <w:r w:rsidR="008342EA">
        <w:rPr>
          <w:rFonts w:asciiTheme="minorHAnsi" w:hAnsiTheme="minorHAnsi" w:cstheme="minorHAnsi"/>
          <w:lang w:val="en-US"/>
        </w:rPr>
        <w:t>.</w:t>
      </w:r>
      <w:r w:rsidR="00372130">
        <w:rPr>
          <w:rFonts w:asciiTheme="minorHAnsi" w:hAnsiTheme="minorHAnsi" w:cstheme="minorHAnsi"/>
          <w:lang w:val="en-US"/>
        </w:rPr>
        <w:t xml:space="preserve"> As per the </w:t>
      </w:r>
      <w:r w:rsidRPr="009C36A4">
        <w:rPr>
          <w:rFonts w:asciiTheme="minorHAnsi" w:hAnsiTheme="minorHAnsi" w:cstheme="minorHAnsi"/>
          <w:lang w:val="en-US"/>
        </w:rPr>
        <w:t xml:space="preserve">channel model </w:t>
      </w:r>
      <w:r>
        <w:rPr>
          <w:rFonts w:asciiTheme="minorHAnsi" w:hAnsiTheme="minorHAnsi" w:cstheme="minorHAnsi"/>
          <w:lang w:val="en-US"/>
        </w:rPr>
        <w:t xml:space="preserve">equations (for models </w:t>
      </w:r>
      <w:r w:rsidRPr="009C36A4">
        <w:rPr>
          <w:rFonts w:asciiTheme="minorHAnsi" w:hAnsiTheme="minorHAnsi" w:cstheme="minorHAnsi"/>
          <w:lang w:val="en-US"/>
        </w:rPr>
        <w:t>A and B</w:t>
      </w:r>
      <w:r>
        <w:rPr>
          <w:rFonts w:asciiTheme="minorHAnsi" w:hAnsiTheme="minorHAnsi" w:cstheme="minorHAnsi"/>
          <w:lang w:val="en-US"/>
        </w:rPr>
        <w:t>)</w:t>
      </w:r>
      <w:r w:rsidRPr="009C36A4">
        <w:rPr>
          <w:rFonts w:asciiTheme="minorHAnsi" w:hAnsiTheme="minorHAnsi" w:cstheme="minorHAnsi"/>
          <w:lang w:val="en-US"/>
        </w:rPr>
        <w:t xml:space="preserve"> </w:t>
      </w:r>
      <w:r w:rsidR="00372130">
        <w:rPr>
          <w:rFonts w:asciiTheme="minorHAnsi" w:hAnsiTheme="minorHAnsi" w:cstheme="minorHAnsi"/>
          <w:lang w:val="en-US"/>
        </w:rPr>
        <w:t>in Report M.2412</w:t>
      </w:r>
      <w:r w:rsidR="006C2BA2">
        <w:rPr>
          <w:rFonts w:asciiTheme="minorHAnsi" w:hAnsiTheme="minorHAnsi" w:cstheme="minorHAnsi"/>
          <w:lang w:val="en-US"/>
        </w:rPr>
        <w:t>,</w:t>
      </w:r>
      <w:r w:rsidR="00372130">
        <w:rPr>
          <w:rFonts w:asciiTheme="minorHAnsi" w:hAnsiTheme="minorHAnsi" w:cstheme="minorHAnsi"/>
          <w:lang w:val="en-US"/>
        </w:rPr>
        <w:t xml:space="preserve"> </w:t>
      </w:r>
      <w:r w:rsidR="00372130" w:rsidRPr="009C36A4">
        <w:rPr>
          <w:rFonts w:asciiTheme="minorHAnsi" w:hAnsiTheme="minorHAnsi" w:cstheme="minorHAnsi"/>
          <w:lang w:val="en-US"/>
        </w:rPr>
        <w:t>for both LOS and NLOS</w:t>
      </w:r>
      <w:r>
        <w:rPr>
          <w:rFonts w:asciiTheme="minorHAnsi" w:hAnsiTheme="minorHAnsi" w:cstheme="minorHAnsi"/>
          <w:lang w:val="en-US"/>
        </w:rPr>
        <w:t>,</w:t>
      </w:r>
      <w:r w:rsidR="00372130" w:rsidRPr="009C36A4">
        <w:rPr>
          <w:rFonts w:asciiTheme="minorHAnsi" w:hAnsiTheme="minorHAnsi" w:cstheme="minorHAnsi"/>
          <w:lang w:val="en-US"/>
        </w:rPr>
        <w:t xml:space="preserve"> </w:t>
      </w:r>
      <w:r w:rsidR="00497A2F">
        <w:rPr>
          <w:rFonts w:asciiTheme="minorHAnsi" w:hAnsiTheme="minorHAnsi" w:cstheme="minorHAnsi"/>
          <w:lang w:val="en-US"/>
        </w:rPr>
        <w:t xml:space="preserve">the maximum of one or the other should be taken as the </w:t>
      </w:r>
      <w:r w:rsidR="0057096C">
        <w:rPr>
          <w:rFonts w:asciiTheme="minorHAnsi" w:hAnsiTheme="minorHAnsi" w:cstheme="minorHAnsi"/>
          <w:lang w:val="en-US"/>
        </w:rPr>
        <w:t xml:space="preserve">value of </w:t>
      </w:r>
      <w:r w:rsidR="00497A2F">
        <w:rPr>
          <w:rFonts w:asciiTheme="minorHAnsi" w:hAnsiTheme="minorHAnsi" w:cstheme="minorHAnsi"/>
          <w:lang w:val="en-US"/>
        </w:rPr>
        <w:t>pathloss</w:t>
      </w:r>
      <w:r w:rsidR="00F57C4B">
        <w:rPr>
          <w:rFonts w:asciiTheme="minorHAnsi" w:hAnsiTheme="minorHAnsi" w:cstheme="minorHAnsi"/>
          <w:lang w:val="en-US"/>
        </w:rPr>
        <w:t xml:space="preserve"> for </w:t>
      </w:r>
      <w:r>
        <w:rPr>
          <w:rFonts w:asciiTheme="minorHAnsi" w:hAnsiTheme="minorHAnsi" w:cstheme="minorHAnsi"/>
          <w:lang w:val="en-US"/>
        </w:rPr>
        <w:t xml:space="preserve">the </w:t>
      </w:r>
      <w:r w:rsidR="00F57C4B">
        <w:rPr>
          <w:rFonts w:asciiTheme="minorHAnsi" w:hAnsiTheme="minorHAnsi" w:cstheme="minorHAnsi"/>
          <w:lang w:val="en-US"/>
        </w:rPr>
        <w:t>rural macro</w:t>
      </w:r>
      <w:r>
        <w:rPr>
          <w:rFonts w:asciiTheme="minorHAnsi" w:hAnsiTheme="minorHAnsi" w:cstheme="minorHAnsi"/>
          <w:lang w:val="en-US"/>
        </w:rPr>
        <w:t xml:space="preserve"> (</w:t>
      </w:r>
      <w:proofErr w:type="spellStart"/>
      <w:r>
        <w:rPr>
          <w:rFonts w:asciiTheme="minorHAnsi" w:hAnsiTheme="minorHAnsi" w:cstheme="minorHAnsi"/>
          <w:lang w:val="en-US"/>
        </w:rPr>
        <w:t>RMa</w:t>
      </w:r>
      <w:proofErr w:type="spellEnd"/>
      <w:r>
        <w:rPr>
          <w:rFonts w:asciiTheme="minorHAnsi" w:hAnsiTheme="minorHAnsi" w:cstheme="minorHAnsi"/>
          <w:lang w:val="en-US"/>
        </w:rPr>
        <w:t>)</w:t>
      </w:r>
      <w:r w:rsidR="00F57C4B">
        <w:rPr>
          <w:rFonts w:asciiTheme="minorHAnsi" w:hAnsiTheme="minorHAnsi" w:cstheme="minorHAnsi"/>
          <w:lang w:val="en-US"/>
        </w:rPr>
        <w:t xml:space="preserve"> geographic environment</w:t>
      </w:r>
      <w:r w:rsidR="009C36A4" w:rsidRPr="009C36A4">
        <w:rPr>
          <w:rFonts w:asciiTheme="minorHAnsi" w:hAnsiTheme="minorHAnsi" w:cstheme="minorHAnsi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36A4" w14:paraId="081F4BE1" w14:textId="77777777" w:rsidTr="006E2C57">
        <w:tc>
          <w:tcPr>
            <w:tcW w:w="9350" w:type="dxa"/>
          </w:tcPr>
          <w:tbl>
            <w:tblPr>
              <w:tblStyle w:val="TableClassic1"/>
              <w:tblW w:w="14460" w:type="dxa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20" w:firstRow="1" w:lastRow="0" w:firstColumn="0" w:lastColumn="0" w:noHBand="0" w:noVBand="1"/>
            </w:tblPr>
            <w:tblGrid>
              <w:gridCol w:w="14460"/>
            </w:tblGrid>
            <w:tr w:rsidR="009C36A4" w14:paraId="5769B59E" w14:textId="77777777" w:rsidTr="008255B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CC4E0" w14:textId="77777777" w:rsidR="009C36A4" w:rsidRDefault="009C36A4" w:rsidP="008255B8">
                  <w:pPr>
                    <w:pStyle w:val="Tablehead"/>
                    <w:rPr>
                      <w:rFonts w:asciiTheme="majorBidi" w:hAnsiTheme="majorBidi" w:cstheme="majorBidi"/>
                      <w:bCs/>
                      <w:sz w:val="22"/>
                      <w:lang w:eastAsia="zh-CN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lang w:eastAsia="zh-CN"/>
                    </w:rPr>
                    <w:lastRenderedPageBreak/>
                    <w:t>RMa_A</w:t>
                  </w:r>
                  <w:proofErr w:type="spellEnd"/>
                </w:p>
              </w:tc>
            </w:tr>
            <w:tr w:rsidR="009C36A4" w14:paraId="1B9A971C" w14:textId="77777777" w:rsidTr="008255B8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94C23" w14:textId="77777777" w:rsidR="009C36A4" w:rsidRDefault="009C36A4" w:rsidP="008255B8">
                  <w:pPr>
                    <w:pStyle w:val="Tabletext"/>
                    <w:jc w:val="center"/>
                    <w:rPr>
                      <w:rFonts w:ascii="Times" w:hAnsi="Times"/>
                      <w:lang w:eastAsia="zh-CN"/>
                    </w:rPr>
                  </w:pPr>
                  <w:r>
                    <w:rPr>
                      <w:lang w:eastAsia="zh-CN"/>
                    </w:rPr>
                    <w:t>LOS</w:t>
                  </w:r>
                </w:p>
              </w:tc>
            </w:tr>
            <w:tr w:rsidR="009C36A4" w14:paraId="29B78E1B" w14:textId="77777777" w:rsidTr="008255B8">
              <w:trPr>
                <w:trHeight w:val="2237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3D016" w14:textId="77777777" w:rsidR="009C36A4" w:rsidRDefault="001E1DD2" w:rsidP="008255B8">
                  <w:pPr>
                    <w:pStyle w:val="Tabletext"/>
                    <w:jc w:val="center"/>
                  </w:pPr>
                  <w:r w:rsidRPr="001E1DD2">
                    <w:rPr>
                      <w:rFonts w:eastAsiaTheme="minorEastAsia" w:cstheme="minorBidi"/>
                      <w:noProof/>
                      <w:kern w:val="2"/>
                      <w:position w:val="-10"/>
                      <w:lang w:val="en-GB" w:eastAsia="zh-CN"/>
                    </w:rPr>
                    <w:object w:dxaOrig="1740" w:dyaOrig="300" w14:anchorId="6A715ABE">
                      <v:shape id="_x0000_i1035" type="#_x0000_t75" alt="" style="width:87.05pt;height:15.05pt;mso-width-percent:0;mso-height-percent:0;mso-width-percent:0;mso-height-percent:0" o:ole="">
                        <v:imagedata r:id="rId10" o:title=""/>
                      </v:shape>
                      <o:OLEObject Type="Embed" ProgID="Equation.DSMT4" ShapeID="_x0000_i1035" DrawAspect="Content" ObjectID="_1632985057" r:id="rId11"/>
                    </w:object>
                  </w:r>
                  <w:r w:rsidR="009C36A4">
                    <w:t>,</w:t>
                  </w:r>
                </w:p>
                <w:p w14:paraId="6B729755" w14:textId="77777777" w:rsidR="009C36A4" w:rsidRDefault="001E1DD2" w:rsidP="008255B8">
                  <w:pPr>
                    <w:pStyle w:val="Tabletext"/>
                    <w:jc w:val="center"/>
                  </w:pPr>
                  <w:r w:rsidRPr="001E1DD2">
                    <w:rPr>
                      <w:rFonts w:eastAsiaTheme="minorEastAsia"/>
                      <w:noProof/>
                      <w:kern w:val="2"/>
                      <w:position w:val="-26"/>
                      <w:lang w:val="en-GB" w:eastAsia="zh-CN"/>
                    </w:rPr>
                    <w:object w:dxaOrig="2880" w:dyaOrig="570" w14:anchorId="19B328B8">
                      <v:shape id="_x0000_i1034" type="#_x0000_t75" alt="" style="width:2in;height:28.7pt;mso-width-percent:0;mso-height-percent:0;mso-width-percent:0;mso-height-percent:0" o:ole="">
                        <v:imagedata r:id="rId12" o:title=""/>
                      </v:shape>
                      <o:OLEObject Type="Embed" ProgID="Equation.DSMT4" ShapeID="_x0000_i1034" DrawAspect="Content" ObjectID="_1632985058" r:id="rId13"/>
                    </w:object>
                  </w:r>
                  <w:r w:rsidR="009C36A4">
                    <w:t>, see Note 4</w:t>
                  </w:r>
                </w:p>
                <w:p w14:paraId="262492B0" w14:textId="3B1FD50F" w:rsidR="009C36A4" w:rsidRDefault="001E1DD2" w:rsidP="004E6971">
                  <w:pPr>
                    <w:pStyle w:val="Tabletext"/>
                    <w:jc w:val="center"/>
                  </w:pPr>
                  <w:r w:rsidRPr="001E1DD2">
                    <w:rPr>
                      <w:rFonts w:eastAsiaTheme="minorEastAsia"/>
                      <w:noProof/>
                      <w:kern w:val="2"/>
                      <w:position w:val="-10"/>
                      <w:lang w:val="en-GB" w:eastAsia="zh-CN"/>
                    </w:rPr>
                    <w:object w:dxaOrig="7335" w:dyaOrig="300" w14:anchorId="092DD60A">
                      <v:shape id="_x0000_i1033" type="#_x0000_t75" alt="" style="width:366.85pt;height:15.05pt;mso-width-percent:0;mso-height-percent:0;mso-width-percent:0;mso-height-percent:0" o:ole="">
                        <v:imagedata r:id="rId14" o:title=""/>
                      </v:shape>
                      <o:OLEObject Type="Embed" ProgID="Equation.DSMT4" ShapeID="_x0000_i1033" DrawAspect="Content" ObjectID="_1632985059" r:id="rId15"/>
                    </w:object>
                  </w:r>
                  <w:r w:rsidR="009C36A4">
                    <w:rPr>
                      <w:kern w:val="2"/>
                      <w:lang w:eastAsia="zh-CN"/>
                    </w:rPr>
                    <w:t>,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SF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=4</m:t>
                    </m:r>
                  </m:oMath>
                  <w:r w:rsidR="009C36A4"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  <w:p w14:paraId="641C38AF" w14:textId="2626AAA0" w:rsidR="009C36A4" w:rsidRDefault="004E6971" w:rsidP="004E6971">
                  <w:pPr>
                    <w:pStyle w:val="Tabletext"/>
                    <w:jc w:val="center"/>
                    <w:rPr>
                      <w:kern w:val="2"/>
                      <w:lang w:eastAsia="zh-CN"/>
                    </w:rPr>
                  </w:pPr>
                  <m:oMath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BP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)+40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kern w:val="2"/>
                                <w:lang w:val="en-GB"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/>
                                <w:kern w:val="2"/>
                                <w:lang w:val="en-GB" w:eastAsia="zh-CN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/>
                                <w:kern w:val="2"/>
                                <w:lang w:val="en-GB" w:eastAsia="zh-CN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(</m:t>
                        </m:r>
                      </m:e>
                    </m:func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3D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BP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)</m:t>
                    </m:r>
                  </m:oMath>
                  <w:r w:rsidR="009C36A4">
                    <w:rPr>
                      <w:kern w:val="2"/>
                      <w:lang w:eastAsia="zh-CN"/>
                    </w:rPr>
                    <w:t>,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SF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=6</m:t>
                    </m:r>
                  </m:oMath>
                  <w:r w:rsidR="009C36A4"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</w:tc>
            </w:tr>
            <w:tr w:rsidR="009C36A4" w14:paraId="2894A87B" w14:textId="77777777" w:rsidTr="008255B8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D3774E" w14:textId="77777777" w:rsidR="009C36A4" w:rsidRDefault="009C36A4" w:rsidP="008255B8">
                  <w:pPr>
                    <w:pStyle w:val="Tabletext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NLOS</w:t>
                  </w:r>
                </w:p>
              </w:tc>
            </w:tr>
            <w:tr w:rsidR="009C36A4" w14:paraId="650D298B" w14:textId="77777777" w:rsidTr="008255B8">
              <w:trPr>
                <w:trHeight w:val="2015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0328D" w14:textId="77777777" w:rsidR="009C36A4" w:rsidRDefault="001E1DD2" w:rsidP="008255B8">
                  <w:pPr>
                    <w:pStyle w:val="Tabletext"/>
                    <w:jc w:val="center"/>
                  </w:pPr>
                  <w:r w:rsidRPr="001E1DD2">
                    <w:rPr>
                      <w:rFonts w:eastAsiaTheme="minorEastAsia" w:cstheme="minorBidi"/>
                      <w:noProof/>
                      <w:kern w:val="2"/>
                      <w:position w:val="-10"/>
                      <w:lang w:val="en-GB" w:eastAsia="zh-CN"/>
                    </w:rPr>
                    <w:object w:dxaOrig="1740" w:dyaOrig="300" w14:anchorId="5AB364A6">
                      <v:shape id="_x0000_i1032" type="#_x0000_t75" alt="" style="width:87.05pt;height:15.05pt;mso-width-percent:0;mso-height-percent:0;mso-width-percent:0;mso-height-percent:0" o:ole="">
                        <v:imagedata r:id="rId10" o:title=""/>
                      </v:shape>
                      <o:OLEObject Type="Embed" ProgID="Equation.DSMT4" ShapeID="_x0000_i1032" DrawAspect="Content" ObjectID="_1632985060" r:id="rId16"/>
                    </w:object>
                  </w:r>
                  <w:r w:rsidR="009C36A4">
                    <w:t>,</w:t>
                  </w:r>
                </w:p>
                <w:p w14:paraId="0A704117" w14:textId="77777777" w:rsidR="009C36A4" w:rsidRDefault="009C36A4" w:rsidP="008255B8">
                  <w:pPr>
                    <w:pStyle w:val="Tabletext"/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i/>
                      <w:iCs/>
                    </w:rPr>
                    <w:t>PL</w:t>
                  </w:r>
                  <w:r>
                    <w:rPr>
                      <w:iCs/>
                      <w:vertAlign w:val="subscript"/>
                    </w:rPr>
                    <w:t>RMa</w:t>
                  </w:r>
                  <w:proofErr w:type="spellEnd"/>
                  <w:r>
                    <w:rPr>
                      <w:iCs/>
                      <w:vertAlign w:val="subscript"/>
                    </w:rPr>
                    <w:t>-NLOS</w:t>
                  </w:r>
                  <w:r>
                    <w:t xml:space="preserve"> = 161.04 – 7.1 log</w:t>
                  </w:r>
                  <w:r>
                    <w:rPr>
                      <w:vertAlign w:val="subscript"/>
                    </w:rPr>
                    <w:t>10</w:t>
                  </w:r>
                  <w:r>
                    <w:t xml:space="preserve"> (</w:t>
                  </w:r>
                  <w:r>
                    <w:rPr>
                      <w:i/>
                      <w:iCs/>
                    </w:rPr>
                    <w:t>W</w:t>
                  </w:r>
                  <w:r>
                    <w:t>) + 7.5 log</w:t>
                  </w:r>
                  <w:r>
                    <w:rPr>
                      <w:vertAlign w:val="subscript"/>
                    </w:rPr>
                    <w:t>10</w:t>
                  </w:r>
                  <w:r>
                    <w:t xml:space="preserve"> (</w:t>
                  </w:r>
                  <w:r>
                    <w:rPr>
                      <w:i/>
                      <w:iCs/>
                    </w:rPr>
                    <w:t>h</w:t>
                  </w:r>
                  <w:r>
                    <w:t>) – (24.37 – 3.7(</w:t>
                  </w:r>
                  <w:r>
                    <w:rPr>
                      <w:i/>
                      <w:iCs/>
                    </w:rPr>
                    <w:t>h</w:t>
                  </w:r>
                  <w:r>
                    <w:t>/</w:t>
                  </w:r>
                  <w:proofErr w:type="spellStart"/>
                  <w:r>
                    <w:rPr>
                      <w:i/>
                      <w:iCs/>
                    </w:rPr>
                    <w:t>h</w:t>
                  </w:r>
                  <w:r>
                    <w:rPr>
                      <w:i/>
                      <w:iCs/>
                      <w:vertAlign w:val="subscript"/>
                    </w:rPr>
                    <w:t>BS</w:t>
                  </w:r>
                  <w:proofErr w:type="spellEnd"/>
                  <w:r>
                    <w:t>)</w:t>
                  </w:r>
                  <w:r>
                    <w:rPr>
                      <w:vertAlign w:val="superscript"/>
                    </w:rPr>
                    <w:t>2</w:t>
                  </w:r>
                  <w:r>
                    <w:t>) log</w:t>
                  </w:r>
                  <w:r>
                    <w:rPr>
                      <w:vertAlign w:val="subscript"/>
                    </w:rPr>
                    <w:t>10</w:t>
                  </w:r>
                  <w:r>
                    <w:t xml:space="preserve"> (</w:t>
                  </w:r>
                  <w:proofErr w:type="spellStart"/>
                  <w:r>
                    <w:rPr>
                      <w:i/>
                      <w:iCs/>
                    </w:rPr>
                    <w:t>h</w:t>
                  </w:r>
                  <w:r>
                    <w:rPr>
                      <w:i/>
                      <w:iCs/>
                      <w:vertAlign w:val="subscript"/>
                    </w:rPr>
                    <w:t>BS</w:t>
                  </w:r>
                  <w:proofErr w:type="spellEnd"/>
                  <w:r>
                    <w:t>) + (43.42 – 3.1 log</w:t>
                  </w:r>
                  <w:r>
                    <w:rPr>
                      <w:vertAlign w:val="subscript"/>
                    </w:rPr>
                    <w:t>10</w:t>
                  </w:r>
                  <w:r>
                    <w:t xml:space="preserve"> (</w:t>
                  </w:r>
                  <w:proofErr w:type="spellStart"/>
                  <w:r>
                    <w:rPr>
                      <w:i/>
                      <w:iCs/>
                    </w:rPr>
                    <w:t>h</w:t>
                  </w:r>
                  <w:r>
                    <w:rPr>
                      <w:i/>
                      <w:iCs/>
                      <w:vertAlign w:val="subscript"/>
                    </w:rPr>
                    <w:t>BS</w:t>
                  </w:r>
                  <w:proofErr w:type="spellEnd"/>
                  <w:r>
                    <w:t>)) (log</w:t>
                  </w:r>
                  <w:r>
                    <w:rPr>
                      <w:vertAlign w:val="subscript"/>
                    </w:rPr>
                    <w:t>10</w:t>
                  </w:r>
                  <w:r>
                    <w:t xml:space="preserve"> (</w:t>
                  </w:r>
                  <w:r>
                    <w:rPr>
                      <w:i/>
                      <w:iCs/>
                    </w:rPr>
                    <w:t>d</w:t>
                  </w:r>
                  <w:r>
                    <w:rPr>
                      <w:i/>
                      <w:vertAlign w:val="subscript"/>
                    </w:rPr>
                    <w:t>3D</w:t>
                  </w:r>
                  <w:r>
                    <w:rPr>
                      <w:i/>
                      <w:iCs/>
                    </w:rPr>
                    <w:t>)-3)</w:t>
                  </w:r>
                  <w:r>
                    <w:t xml:space="preserve"> +</w:t>
                  </w:r>
                  <w:r>
                    <w:rPr>
                      <w:lang w:eastAsia="zh-CN"/>
                    </w:rPr>
                    <w:t xml:space="preserve"> </w:t>
                  </w:r>
                  <w:r>
                    <w:t>20 log</w:t>
                  </w:r>
                  <w:r>
                    <w:rPr>
                      <w:vertAlign w:val="subscript"/>
                    </w:rPr>
                    <w:t>10</w:t>
                  </w:r>
                  <w:r>
                    <w:t>(</w:t>
                  </w:r>
                  <w:r>
                    <w:rPr>
                      <w:i/>
                      <w:iCs/>
                    </w:rPr>
                    <w:t>f</w:t>
                  </w:r>
                  <w:r>
                    <w:rPr>
                      <w:rFonts w:eastAsia="MS Mincho"/>
                      <w:i/>
                      <w:iCs/>
                      <w:vertAlign w:val="subscript"/>
                    </w:rPr>
                    <w:t>c</w:t>
                  </w:r>
                  <w:r>
                    <w:t>) – (3.2 (log</w:t>
                  </w:r>
                  <w:r>
                    <w:rPr>
                      <w:vertAlign w:val="subscript"/>
                    </w:rPr>
                    <w:t>10</w:t>
                  </w:r>
                  <w:r>
                    <w:t xml:space="preserve"> (11.75 </w:t>
                  </w:r>
                  <w:proofErr w:type="spellStart"/>
                  <w:r>
                    <w:rPr>
                      <w:i/>
                      <w:iCs/>
                    </w:rPr>
                    <w:t>h</w:t>
                  </w:r>
                  <w:r>
                    <w:rPr>
                      <w:i/>
                      <w:iCs/>
                      <w:vertAlign w:val="subscript"/>
                    </w:rPr>
                    <w:t>UT</w:t>
                  </w:r>
                  <w:proofErr w:type="spellEnd"/>
                  <w:r>
                    <w:t>))</w:t>
                  </w:r>
                  <w:r>
                    <w:rPr>
                      <w:vertAlign w:val="superscript"/>
                    </w:rPr>
                    <w:t xml:space="preserve"> 2</w:t>
                  </w:r>
                  <w:r>
                    <w:t xml:space="preserve"> - 4.97)</w:t>
                  </w:r>
                  <w:r>
                    <w:rPr>
                      <w:rFonts w:eastAsia="Calibri"/>
                    </w:rPr>
                    <w:t xml:space="preserve">, </w:t>
                  </w:r>
                  <w:r w:rsidR="001E1DD2" w:rsidRPr="001E1DD2">
                    <w:rPr>
                      <w:rFonts w:eastAsiaTheme="minorEastAsia"/>
                      <w:noProof/>
                      <w:kern w:val="2"/>
                      <w:position w:val="-12"/>
                      <w:lang w:val="en-GB" w:eastAsia="zh-CN"/>
                    </w:rPr>
                    <w:object w:dxaOrig="720" w:dyaOrig="420" w14:anchorId="2F291A49">
                      <v:shape id="_x0000_i1031" type="#_x0000_t75" alt="" style="width:36.45pt;height:21.4pt;mso-width-percent:0;mso-height-percent:0;mso-width-percent:0;mso-height-percent:0" o:ole="">
                        <v:imagedata r:id="rId8" o:title=""/>
                      </v:shape>
                      <o:OLEObject Type="Embed" ProgID="Equation.DSMT4" ShapeID="_x0000_i1031" DrawAspect="Content" ObjectID="_1632985061" r:id="rId17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  <w:r>
                    <w:rPr>
                      <w:rFonts w:eastAsia="Calibri"/>
                    </w:rPr>
                    <w:t xml:space="preserve"> for </w:t>
                  </w:r>
                  <w:r>
                    <w:t xml:space="preserve">10 m &lt; </w:t>
                  </w:r>
                  <w:r>
                    <w:rPr>
                      <w:i/>
                    </w:rPr>
                    <w:t>d</w:t>
                  </w:r>
                  <w:r>
                    <w:rPr>
                      <w:i/>
                      <w:vertAlign w:val="subscript"/>
                    </w:rPr>
                    <w:t>2D</w:t>
                  </w:r>
                  <w:r>
                    <w:t xml:space="preserve"> &lt; </w:t>
                  </w:r>
                  <w:r>
                    <w:rPr>
                      <w:lang w:eastAsia="zh-CN"/>
                    </w:rPr>
                    <w:t>21</w:t>
                  </w:r>
                  <w:r>
                    <w:t xml:space="preserve"> km.</w:t>
                  </w:r>
                </w:p>
                <w:p w14:paraId="0F7DB81F" w14:textId="761B6732" w:rsidR="009C36A4" w:rsidRDefault="009C36A4" w:rsidP="0036795D">
                  <w:pPr>
                    <w:pStyle w:val="Tabletext"/>
                    <w:jc w:val="center"/>
                    <w:rPr>
                      <w:rFonts w:eastAsia="Calibri"/>
                    </w:rPr>
                  </w:pPr>
                  <w:r w:rsidRPr="00524373">
                    <w:rPr>
                      <w:kern w:val="2"/>
                      <w:highlight w:val="yellow"/>
                      <w:lang w:eastAsia="zh-CN"/>
                    </w:rPr>
                    <w:t xml:space="preserve">For LMLC </w:t>
                  </w:r>
                  <m:oMath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RMa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NLOS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funcPr>
                      <m:fNam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max</m:t>
                        </m:r>
                      </m:fName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(</m:t>
                        </m:r>
                      </m:e>
                    </m:func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RMa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LOS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,P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RMa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NLOS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  <m:sup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-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12)</m:t>
                    </m:r>
                  </m:oMath>
                </w:p>
              </w:tc>
            </w:tr>
            <w:tr w:rsidR="009C36A4" w14:paraId="20846094" w14:textId="77777777" w:rsidTr="008255B8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FA0BF" w14:textId="72F4E917" w:rsidR="009C36A4" w:rsidRDefault="001E1DD2" w:rsidP="004E6971">
                  <w:pPr>
                    <w:pStyle w:val="Tabletext"/>
                    <w:jc w:val="center"/>
                  </w:pP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BS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=35m</m:t>
                    </m:r>
                  </m:oMath>
                  <w:r w:rsidR="009C36A4">
                    <w:rPr>
                      <w:lang w:eastAsia="zh-CN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UT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=1.5m</m:t>
                    </m:r>
                  </m:oMath>
                  <w:r w:rsidR="009C36A4">
                    <w:rPr>
                      <w:lang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W=20m</m:t>
                    </m:r>
                  </m:oMath>
                  <w:r w:rsidR="009C36A4">
                    <w:rPr>
                      <w:lang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h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=5m</m:t>
                    </m:r>
                  </m:oMath>
                </w:p>
                <w:p w14:paraId="1DC6A4C4" w14:textId="77777777" w:rsidR="009C36A4" w:rsidRDefault="009C36A4" w:rsidP="008255B8">
                  <w:pPr>
                    <w:pStyle w:val="Tabletex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The applicability ranges:</w:t>
                  </w:r>
                </w:p>
                <w:p w14:paraId="68ABC3D3" w14:textId="4EE08AF6" w:rsidR="009C36A4" w:rsidRDefault="004E6971" w:rsidP="004E6971">
                  <w:pPr>
                    <w:pStyle w:val="Tabletext"/>
                    <w:jc w:val="center"/>
                  </w:pP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≤h≤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50m</m:t>
                    </m:r>
                  </m:oMath>
                  <w:r w:rsidR="009C36A4">
                    <w:rPr>
                      <w:lang w:eastAsia="zh-CN"/>
                    </w:rPr>
                    <w:t>,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W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50m</m:t>
                    </m:r>
                  </m:oMath>
                  <w:r w:rsidR="009C36A4">
                    <w:rPr>
                      <w:lang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10m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BS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150m</m:t>
                    </m:r>
                  </m:oMath>
                  <w:r w:rsidR="009C36A4">
                    <w:rPr>
                      <w:lang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UT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10m</m:t>
                    </m:r>
                  </m:oMath>
                </w:p>
              </w:tc>
            </w:tr>
          </w:tbl>
          <w:p w14:paraId="1179C8F6" w14:textId="77777777" w:rsidR="009C36A4" w:rsidRDefault="009C36A4" w:rsidP="008255B8">
            <w:pPr>
              <w:pStyle w:val="BodyText"/>
              <w:ind w:left="0"/>
              <w:rPr>
                <w:lang w:val="en-US"/>
              </w:rPr>
            </w:pPr>
          </w:p>
        </w:tc>
      </w:tr>
      <w:tr w:rsidR="004E6971" w14:paraId="2A0564CF" w14:textId="77777777" w:rsidTr="004E6971">
        <w:tc>
          <w:tcPr>
            <w:tcW w:w="9350" w:type="dxa"/>
          </w:tcPr>
          <w:tbl>
            <w:tblPr>
              <w:tblStyle w:val="TableClassic1"/>
              <w:tblW w:w="14460" w:type="dxa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20" w:firstRow="1" w:lastRow="0" w:firstColumn="0" w:lastColumn="0" w:noHBand="0" w:noVBand="1"/>
            </w:tblPr>
            <w:tblGrid>
              <w:gridCol w:w="14460"/>
            </w:tblGrid>
            <w:tr w:rsidR="004E6971" w14:paraId="0F732781" w14:textId="77777777" w:rsidTr="00CC52C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98AEB5" w14:textId="77777777" w:rsidR="004E6971" w:rsidRDefault="004E6971" w:rsidP="00CC52CC">
                  <w:pPr>
                    <w:pStyle w:val="Tablehead"/>
                    <w:rPr>
                      <w:rFonts w:asciiTheme="majorBidi" w:hAnsiTheme="majorBidi" w:cstheme="majorBidi"/>
                      <w:bCs/>
                      <w:sz w:val="22"/>
                      <w:lang w:eastAsia="zh-CN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lang w:eastAsia="zh-CN"/>
                    </w:rPr>
                    <w:t>RMa_B</w:t>
                  </w:r>
                  <w:proofErr w:type="spellEnd"/>
                </w:p>
              </w:tc>
            </w:tr>
            <w:tr w:rsidR="004E6971" w14:paraId="761B7706" w14:textId="77777777" w:rsidTr="00CC52CC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F39DB" w14:textId="77777777" w:rsidR="004E6971" w:rsidRDefault="004E6971" w:rsidP="00CC52CC">
                  <w:pPr>
                    <w:pStyle w:val="Tabletext"/>
                    <w:jc w:val="center"/>
                    <w:rPr>
                      <w:rFonts w:ascii="Times" w:hAnsi="Times"/>
                      <w:lang w:eastAsia="zh-CN"/>
                    </w:rPr>
                  </w:pPr>
                  <w:r>
                    <w:rPr>
                      <w:lang w:eastAsia="zh-CN"/>
                    </w:rPr>
                    <w:t>LOS</w:t>
                  </w:r>
                </w:p>
              </w:tc>
            </w:tr>
            <w:tr w:rsidR="004E6971" w14:paraId="2376092E" w14:textId="77777777" w:rsidTr="00CC52CC">
              <w:trPr>
                <w:trHeight w:val="2237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B213AC" w14:textId="16EB0744" w:rsidR="004E6971" w:rsidRDefault="004E6971" w:rsidP="004E6971">
                  <w:pPr>
                    <w:pStyle w:val="Tabletext"/>
                    <w:jc w:val="center"/>
                    <w:rPr>
                      <w:kern w:val="2"/>
                      <w:lang w:eastAsia="zh-CN"/>
                    </w:rPr>
                  </w:pPr>
                  <m:oMathPara>
                    <m:oMath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0.5</m:t>
                      </m:r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​​​</m:t>
                      </m:r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GHz</m:t>
                      </m:r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≤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kern w:val="2"/>
                              <w:lang w:val="en-GB"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/>
                              <w:kern w:val="2"/>
                              <w:lang w:val="en-GB" w:eastAsia="zh-C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/>
                              <w:kern w:val="2"/>
                              <w:lang w:val="en-GB" w:eastAsia="zh-CN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≤</m:t>
                      </m:r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30</m:t>
                      </m:r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​​</m:t>
                      </m:r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GHz</m:t>
                      </m:r>
                    </m:oMath>
                  </m:oMathPara>
                </w:p>
                <w:p w14:paraId="48A975F1" w14:textId="77777777" w:rsidR="004E6971" w:rsidRDefault="001E1DD2" w:rsidP="00CC52CC">
                  <w:pPr>
                    <w:pStyle w:val="Tabletext"/>
                    <w:jc w:val="center"/>
                  </w:pPr>
                  <w:r w:rsidRPr="001E1DD2">
                    <w:rPr>
                      <w:rFonts w:eastAsiaTheme="minorEastAsia"/>
                      <w:noProof/>
                      <w:kern w:val="2"/>
                      <w:position w:val="-26"/>
                      <w:lang w:val="en-GB" w:eastAsia="zh-CN"/>
                    </w:rPr>
                    <w:object w:dxaOrig="2880" w:dyaOrig="570" w14:anchorId="43D0323C">
                      <v:shape id="_x0000_i1030" type="#_x0000_t75" alt="" style="width:2in;height:28.7pt;mso-width-percent:0;mso-height-percent:0;mso-width-percent:0;mso-height-percent:0" o:ole="">
                        <v:imagedata r:id="rId12" o:title=""/>
                      </v:shape>
                      <o:OLEObject Type="Embed" ProgID="Equation.DSMT4" ShapeID="_x0000_i1030" DrawAspect="Content" ObjectID="_1632985062" r:id="rId18"/>
                    </w:object>
                  </w:r>
                  <w:r w:rsidR="004E6971">
                    <w:t>, see Note 4</w:t>
                  </w:r>
                </w:p>
                <w:p w14:paraId="281E6AD4" w14:textId="77777777" w:rsidR="004E6971" w:rsidRDefault="001E1DD2" w:rsidP="00CC52CC">
                  <w:pPr>
                    <w:pStyle w:val="Tabletext"/>
                    <w:jc w:val="center"/>
                  </w:pPr>
                  <w:r w:rsidRPr="001E1DD2">
                    <w:rPr>
                      <w:rFonts w:eastAsiaTheme="minorEastAsia"/>
                      <w:noProof/>
                      <w:kern w:val="2"/>
                      <w:position w:val="-10"/>
                      <w:lang w:val="en-GB" w:eastAsia="zh-CN"/>
                    </w:rPr>
                    <w:object w:dxaOrig="7335" w:dyaOrig="300" w14:anchorId="2523F666">
                      <v:shape id="_x0000_i1029" type="#_x0000_t75" alt="" style="width:366.85pt;height:15.05pt;mso-width-percent:0;mso-height-percent:0;mso-width-percent:0;mso-height-percent:0" o:ole="">
                        <v:imagedata r:id="rId14" o:title=""/>
                      </v:shape>
                      <o:OLEObject Type="Embed" ProgID="Equation.DSMT4" ShapeID="_x0000_i1029" DrawAspect="Content" ObjectID="_1632985063" r:id="rId19"/>
                    </w:object>
                  </w:r>
                  <w:r w:rsidR="004E6971">
                    <w:rPr>
                      <w:kern w:val="2"/>
                      <w:lang w:eastAsia="zh-CN"/>
                    </w:rPr>
                    <w:t>,</w:t>
                  </w:r>
                  <w:r w:rsidRPr="001E1DD2">
                    <w:rPr>
                      <w:rFonts w:eastAsiaTheme="minorEastAsia"/>
                      <w:noProof/>
                      <w:kern w:val="2"/>
                      <w:position w:val="-12"/>
                      <w:lang w:val="en-GB" w:eastAsia="zh-CN"/>
                    </w:rPr>
                    <w:object w:dxaOrig="720" w:dyaOrig="420" w14:anchorId="6FB06F48">
                      <v:shape id="_x0000_i1028" type="#_x0000_t75" alt="" style="width:36.45pt;height:21.4pt;mso-width-percent:0;mso-height-percent:0;mso-width-percent:0;mso-height-percent:0" o:ole="">
                        <v:imagedata r:id="rId20" o:title=""/>
                      </v:shape>
                      <o:OLEObject Type="Embed" ProgID="Equation.DSMT4" ShapeID="_x0000_i1028" DrawAspect="Content" ObjectID="_1632985064" r:id="rId21"/>
                    </w:object>
                  </w:r>
                  <w:r w:rsidR="004E6971"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  <w:p w14:paraId="31F51D69" w14:textId="0B671478" w:rsidR="004E6971" w:rsidRDefault="004E6971" w:rsidP="004E6971">
                  <w:pPr>
                    <w:pStyle w:val="Tabletext"/>
                    <w:jc w:val="center"/>
                    <w:rPr>
                      <w:kern w:val="2"/>
                      <w:lang w:eastAsia="zh-CN"/>
                    </w:rPr>
                  </w:pPr>
                  <m:oMath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BP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)+40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kern w:val="2"/>
                                <w:lang w:val="en-GB"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/>
                                <w:kern w:val="2"/>
                                <w:lang w:val="en-GB" w:eastAsia="zh-CN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/>
                                <w:kern w:val="2"/>
                                <w:lang w:val="en-GB" w:eastAsia="zh-CN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(</m:t>
                        </m:r>
                      </m:e>
                    </m:func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3D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BP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)</m:t>
                    </m:r>
                  </m:oMath>
                  <w:r>
                    <w:rPr>
                      <w:kern w:val="2"/>
                      <w:lang w:eastAsia="zh-CN"/>
                    </w:rPr>
                    <w:t>,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SF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=6</m:t>
                    </m:r>
                  </m:oMath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</w:tc>
            </w:tr>
            <w:tr w:rsidR="004E6971" w14:paraId="126C8E8E" w14:textId="77777777" w:rsidTr="00CC52CC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4B00DB" w14:textId="77777777" w:rsidR="004E6971" w:rsidRDefault="004E6971" w:rsidP="00CC52CC">
                  <w:pPr>
                    <w:pStyle w:val="Tabletext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NLOS</w:t>
                  </w:r>
                </w:p>
              </w:tc>
            </w:tr>
            <w:tr w:rsidR="004E6971" w14:paraId="31E319B5" w14:textId="77777777" w:rsidTr="00CC52CC">
              <w:trPr>
                <w:trHeight w:val="2015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58B84" w14:textId="13E5691B" w:rsidR="004E6971" w:rsidRDefault="004E6971" w:rsidP="004E6971">
                  <w:pPr>
                    <w:pStyle w:val="Tabletext"/>
                    <w:jc w:val="center"/>
                    <w:rPr>
                      <w:lang w:val="en-GB"/>
                    </w:rPr>
                  </w:pPr>
                  <m:oMath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0.5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​​​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GHz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30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​​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GHz</m:t>
                    </m:r>
                  </m:oMath>
                  <w:r>
                    <w:rPr>
                      <w:lang w:val="en-GB"/>
                    </w:rPr>
                    <w:t>,</w:t>
                  </w:r>
                </w:p>
                <w:p w14:paraId="0EE64510" w14:textId="1455100A" w:rsidR="004E6971" w:rsidRDefault="004E6971" w:rsidP="004E6971">
                  <w:pPr>
                    <w:pStyle w:val="Tabletext"/>
                    <w:jc w:val="center"/>
                    <w:rPr>
                      <w:lang w:val="en-GB"/>
                    </w:rPr>
                  </w:pPr>
                  <m:oMath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RMa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NLOS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funcPr>
                      <m:fNam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max</m:t>
                        </m:r>
                      </m:fName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(</m:t>
                        </m:r>
                      </m:e>
                    </m:func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RMa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LOS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,P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RMa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NLOS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  <m:sup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)</m:t>
                    </m:r>
                  </m:oMath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lang w:val="en-GB"/>
                    </w:rPr>
                    <w:t xml:space="preserve">for 10 m &lt; </w:t>
                  </w:r>
                  <w:r>
                    <w:rPr>
                      <w:i/>
                      <w:lang w:val="en-GB"/>
                    </w:rPr>
                    <w:t>d</w:t>
                  </w:r>
                  <w:r>
                    <w:rPr>
                      <w:i/>
                      <w:vertAlign w:val="subscript"/>
                      <w:lang w:val="en-GB"/>
                    </w:rPr>
                    <w:t>2D</w:t>
                  </w:r>
                  <w:r>
                    <w:rPr>
                      <w:lang w:val="en-GB"/>
                    </w:rPr>
                    <w:t xml:space="preserve"> &lt; </w:t>
                  </w:r>
                  <w:r>
                    <w:rPr>
                      <w:lang w:val="en-GB" w:eastAsia="zh-CN"/>
                    </w:rPr>
                    <w:t xml:space="preserve">21 </w:t>
                  </w:r>
                  <w:r>
                    <w:rPr>
                      <w:lang w:val="en-GB"/>
                    </w:rPr>
                    <w:t>km</w:t>
                  </w:r>
                </w:p>
                <w:p w14:paraId="32F41ED3" w14:textId="77777777" w:rsidR="004E6971" w:rsidRDefault="001E1DD2" w:rsidP="00CC52CC">
                  <w:pPr>
                    <w:pStyle w:val="Tabletext"/>
                    <w:jc w:val="center"/>
                    <w:rPr>
                      <w:rFonts w:eastAsiaTheme="minorEastAsia"/>
                      <w:kern w:val="2"/>
                      <w:lang w:val="en-GB" w:eastAsia="zh-CN"/>
                    </w:rPr>
                  </w:pPr>
                  <w:r w:rsidRPr="001E1DD2">
                    <w:rPr>
                      <w:rFonts w:eastAsiaTheme="minorEastAsia"/>
                      <w:noProof/>
                      <w:kern w:val="2"/>
                      <w:position w:val="-28"/>
                      <w:lang w:val="en-GB" w:eastAsia="zh-CN"/>
                    </w:rPr>
                    <w:object w:dxaOrig="6195" w:dyaOrig="570" w14:anchorId="307E5A33">
                      <v:shape id="_x0000_i1027" type="#_x0000_t75" alt="" style="width:309.85pt;height:28.7pt;mso-width-percent:0;mso-height-percent:0;mso-width-percent:0;mso-height-percent:0" o:ole="">
                        <v:imagedata r:id="rId22" o:title=""/>
                      </v:shape>
                      <o:OLEObject Type="Embed" ProgID="Equation.DSMT4" ShapeID="_x0000_i1027" DrawAspect="Content" ObjectID="_1632985065" r:id="rId23"/>
                    </w:object>
                  </w:r>
                  <w:r w:rsidR="004E6971">
                    <w:rPr>
                      <w:kern w:val="2"/>
                      <w:lang w:val="en-GB" w:eastAsia="zh-CN"/>
                    </w:rPr>
                    <w:t>,</w:t>
                  </w:r>
                  <w:r w:rsidRPr="001E1DD2">
                    <w:rPr>
                      <w:rFonts w:eastAsiaTheme="minorEastAsia"/>
                      <w:noProof/>
                      <w:kern w:val="2"/>
                      <w:position w:val="-12"/>
                      <w:lang w:val="en-GB" w:eastAsia="zh-CN"/>
                    </w:rPr>
                    <w:object w:dxaOrig="720" w:dyaOrig="300" w14:anchorId="7A5721AD">
                      <v:shape id="_x0000_i1026" type="#_x0000_t75" alt="" style="width:36.45pt;height:15.05pt;mso-width-percent:0;mso-height-percent:0;mso-width-percent:0;mso-height-percent:0" o:ole="">
                        <v:imagedata r:id="rId8" o:title=""/>
                      </v:shape>
                      <o:OLEObject Type="Embed" ProgID="Equation.DSMT4" ShapeID="_x0000_i1026" DrawAspect="Content" ObjectID="_1632985066" r:id="rId24"/>
                    </w:object>
                  </w:r>
                  <w:r w:rsidR="004E6971">
                    <w:rPr>
                      <w:rFonts w:eastAsiaTheme="minorEastAsia" w:cstheme="minorBidi"/>
                      <w:kern w:val="2"/>
                      <w:szCs w:val="22"/>
                      <w:lang w:val="en-GB" w:eastAsia="zh-CN"/>
                    </w:rPr>
                    <w:t>dB</w:t>
                  </w:r>
                </w:p>
                <w:p w14:paraId="5A4F5E57" w14:textId="77777777" w:rsidR="004E6971" w:rsidRDefault="004E6971" w:rsidP="00CC52CC">
                  <w:pPr>
                    <w:pStyle w:val="Tabletext"/>
                    <w:jc w:val="center"/>
                    <w:rPr>
                      <w:i/>
                      <w:kern w:val="2"/>
                      <w:lang w:val="en-GB" w:eastAsia="zh-CN"/>
                    </w:rPr>
                  </w:pPr>
                  <w:r w:rsidRPr="00AA07D6">
                    <w:rPr>
                      <w:kern w:val="2"/>
                      <w:highlight w:val="yellow"/>
                      <w:lang w:val="en-GB" w:eastAsia="zh-CN"/>
                    </w:rPr>
                    <w:t xml:space="preserve">For LMLC </w:t>
                  </w:r>
                  <w:r w:rsidR="001E1DD2" w:rsidRPr="001E1DD2">
                    <w:rPr>
                      <w:rFonts w:eastAsiaTheme="minorEastAsia"/>
                      <w:noProof/>
                      <w:kern w:val="2"/>
                      <w:position w:val="-10"/>
                      <w:highlight w:val="yellow"/>
                      <w:lang w:val="en-GB" w:eastAsia="zh-CN"/>
                    </w:rPr>
                    <w:object w:dxaOrig="3450" w:dyaOrig="300" w14:anchorId="7BB3F12A">
                      <v:shape id="_x0000_i1025" type="#_x0000_t75" alt="" style="width:172.7pt;height:15.05pt;mso-width-percent:0;mso-height-percent:0;mso-width-percent:0;mso-height-percent:0" o:ole="">
                        <v:imagedata r:id="rId25" o:title=""/>
                      </v:shape>
                      <o:OLEObject Type="Embed" ProgID="Equation.DSMT4" ShapeID="_x0000_i1025" DrawAspect="Content" ObjectID="_1632985067" r:id="rId26"/>
                    </w:object>
                  </w:r>
                </w:p>
              </w:tc>
            </w:tr>
            <w:tr w:rsidR="004E6971" w14:paraId="6032F605" w14:textId="77777777" w:rsidTr="00CC52CC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DF005" w14:textId="1FCF9726" w:rsidR="004E6971" w:rsidRDefault="001E1DD2" w:rsidP="004E6971">
                  <w:pPr>
                    <w:pStyle w:val="Tabletext"/>
                    <w:jc w:val="center"/>
                    <w:rPr>
                      <w:lang w:val="en-GB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BS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=35m</m:t>
                    </m:r>
                  </m:oMath>
                  <w:r w:rsidR="004E6971">
                    <w:rPr>
                      <w:lang w:val="en-GB" w:eastAsia="zh-CN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UT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=1.5m</m:t>
                    </m:r>
                  </m:oMath>
                  <w:r w:rsidR="004E6971">
                    <w:rPr>
                      <w:lang w:val="en-GB"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W=20m</m:t>
                    </m:r>
                  </m:oMath>
                  <w:r w:rsidR="004E6971">
                    <w:rPr>
                      <w:lang w:val="en-GB"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h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=5m</m:t>
                    </m:r>
                  </m:oMath>
                </w:p>
                <w:p w14:paraId="5ECDE3A7" w14:textId="77777777" w:rsidR="004E6971" w:rsidRDefault="004E6971" w:rsidP="00CC52CC">
                  <w:pPr>
                    <w:pStyle w:val="Tabletext"/>
                    <w:jc w:val="center"/>
                    <w:rPr>
                      <w:rFonts w:cs="Arial"/>
                      <w:lang w:val="en-GB"/>
                    </w:rPr>
                  </w:pPr>
                  <w:r>
                    <w:rPr>
                      <w:rFonts w:cs="Arial"/>
                      <w:lang w:val="en-GB"/>
                    </w:rPr>
                    <w:t>The applicability ranges:</w:t>
                  </w:r>
                </w:p>
                <w:p w14:paraId="1BA376FB" w14:textId="3D8EB3DF" w:rsidR="004E6971" w:rsidRDefault="004E6971" w:rsidP="004E6971">
                  <w:pPr>
                    <w:pStyle w:val="Tabletext"/>
                    <w:jc w:val="center"/>
                    <w:rPr>
                      <w:rFonts w:eastAsia="Malgun Gothic" w:cs="Arial"/>
                      <w:lang w:val="en-GB" w:eastAsia="ko-KR"/>
                    </w:rPr>
                  </w:pP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≤h≤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50m</m:t>
                    </m:r>
                  </m:oMath>
                  <w:r>
                    <w:rPr>
                      <w:lang w:val="en-GB" w:eastAsia="zh-CN"/>
                    </w:rPr>
                    <w:t>,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W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50m</m:t>
                    </m:r>
                  </m:oMath>
                  <w:r>
                    <w:rPr>
                      <w:lang w:val="en-GB"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10m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BS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150m</m:t>
                    </m:r>
                  </m:oMath>
                  <w:r>
                    <w:rPr>
                      <w:lang w:val="en-GB"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UT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10m</m:t>
                    </m:r>
                  </m:oMath>
                </w:p>
                <w:p w14:paraId="69183194" w14:textId="77777777" w:rsidR="004E6971" w:rsidRDefault="004E6971" w:rsidP="00CC52CC">
                  <w:pPr>
                    <w:pStyle w:val="Tabletext"/>
                    <w:jc w:val="center"/>
                    <w:rPr>
                      <w:lang w:val="en-GB"/>
                    </w:rPr>
                  </w:pPr>
                  <w:r>
                    <w:rPr>
                      <w:rFonts w:cs="Arial"/>
                      <w:lang w:val="en-GB" w:eastAsia="ko-KR"/>
                    </w:rPr>
                    <w:t xml:space="preserve">NOTE – the </w:t>
                  </w:r>
                  <w:proofErr w:type="spellStart"/>
                  <w:r>
                    <w:rPr>
                      <w:rFonts w:cs="Arial"/>
                      <w:lang w:val="en-GB" w:eastAsia="ko-KR"/>
                    </w:rPr>
                    <w:t>RMa</w:t>
                  </w:r>
                  <w:proofErr w:type="spellEnd"/>
                  <w:r>
                    <w:rPr>
                      <w:rFonts w:cs="Arial"/>
                      <w:lang w:val="en-GB" w:eastAsia="ko-KR"/>
                    </w:rPr>
                    <w:t xml:space="preserve"> pathloss model for &gt;7 GHz is validated based on a single measurement campaign conducted at 24 GHz.</w:t>
                  </w:r>
                </w:p>
              </w:tc>
            </w:tr>
          </w:tbl>
          <w:p w14:paraId="1E15164E" w14:textId="77777777" w:rsidR="004E6971" w:rsidRPr="00AA07D6" w:rsidRDefault="004E6971" w:rsidP="00CC52CC">
            <w:pPr>
              <w:pStyle w:val="BodyText"/>
              <w:ind w:left="0"/>
              <w:rPr>
                <w:lang w:val="en-US"/>
              </w:rPr>
            </w:pPr>
          </w:p>
        </w:tc>
      </w:tr>
    </w:tbl>
    <w:p w14:paraId="74E00843" w14:textId="7C1E8322" w:rsidR="00EB4F98" w:rsidRDefault="00EB4F98" w:rsidP="006E2C57">
      <w:pPr>
        <w:pStyle w:val="BodyText"/>
        <w:ind w:left="0"/>
        <w:rPr>
          <w:rFonts w:asciiTheme="minorHAnsi" w:hAnsiTheme="minorHAnsi" w:cstheme="minorHAnsi"/>
        </w:rPr>
      </w:pPr>
      <w:r w:rsidRPr="00C45C5D">
        <w:rPr>
          <w:rFonts w:asciiTheme="minorHAnsi" w:hAnsiTheme="minorHAnsi" w:cstheme="minorHAnsi"/>
          <w:b/>
        </w:rPr>
        <w:lastRenderedPageBreak/>
        <w:t>Question</w:t>
      </w:r>
      <w:r>
        <w:rPr>
          <w:rFonts w:asciiTheme="minorHAnsi" w:hAnsiTheme="minorHAnsi" w:cstheme="minorHAnsi"/>
        </w:rPr>
        <w:t xml:space="preserve">: Would TSDSI kindly look into this and </w:t>
      </w:r>
      <w:r w:rsidR="004E6971">
        <w:rPr>
          <w:rFonts w:asciiTheme="minorHAnsi" w:hAnsiTheme="minorHAnsi" w:cstheme="minorHAnsi"/>
        </w:rPr>
        <w:t>help</w:t>
      </w:r>
      <w:r>
        <w:rPr>
          <w:rFonts w:asciiTheme="minorHAnsi" w:hAnsiTheme="minorHAnsi" w:cstheme="minorHAnsi"/>
        </w:rPr>
        <w:t xml:space="preserve"> the CEG </w:t>
      </w:r>
      <w:r w:rsidR="004E6971">
        <w:rPr>
          <w:rFonts w:asciiTheme="minorHAnsi" w:hAnsiTheme="minorHAnsi" w:cstheme="minorHAnsi"/>
        </w:rPr>
        <w:t>resolve any confusion on its part</w:t>
      </w:r>
      <w:r>
        <w:rPr>
          <w:rFonts w:asciiTheme="minorHAnsi" w:hAnsiTheme="minorHAnsi" w:cstheme="minorHAnsi"/>
        </w:rPr>
        <w:t xml:space="preserve">? </w:t>
      </w:r>
    </w:p>
    <w:p w14:paraId="3999AECE" w14:textId="35281503" w:rsidR="002B2E11" w:rsidRPr="000F7983" w:rsidRDefault="002B2E11" w:rsidP="006E2C57">
      <w:pPr>
        <w:pStyle w:val="BodyText"/>
        <w:ind w:left="0"/>
        <w:rPr>
          <w:rFonts w:asciiTheme="minorHAnsi" w:hAnsiTheme="minorHAnsi" w:cstheme="minorHAnsi"/>
          <w:i/>
          <w:iCs/>
          <w:color w:val="002060"/>
        </w:rPr>
      </w:pPr>
      <w:r w:rsidRPr="000F7983">
        <w:rPr>
          <w:rFonts w:asciiTheme="minorHAnsi" w:hAnsiTheme="minorHAnsi" w:cstheme="minorHAnsi"/>
          <w:i/>
          <w:iCs/>
          <w:color w:val="002060"/>
        </w:rPr>
        <w:t xml:space="preserve">Reply: </w:t>
      </w:r>
      <w:r w:rsidR="00067BF3" w:rsidRPr="000F7983">
        <w:rPr>
          <w:rFonts w:asciiTheme="minorHAnsi" w:hAnsiTheme="minorHAnsi" w:cstheme="minorHAnsi"/>
          <w:i/>
          <w:iCs/>
          <w:color w:val="002060"/>
        </w:rPr>
        <w:t>We make the following observations</w:t>
      </w:r>
    </w:p>
    <w:p w14:paraId="5DBAF425" w14:textId="4534F8EA" w:rsidR="00067BF3" w:rsidRPr="000F7983" w:rsidRDefault="00067BF3" w:rsidP="00067BF3">
      <w:pPr>
        <w:pStyle w:val="BodyText"/>
        <w:numPr>
          <w:ilvl w:val="0"/>
          <w:numId w:val="3"/>
        </w:numPr>
        <w:rPr>
          <w:rFonts w:asciiTheme="minorHAnsi" w:hAnsiTheme="minorHAnsi" w:cstheme="minorHAnsi"/>
          <w:i/>
          <w:iCs/>
          <w:color w:val="002060"/>
        </w:rPr>
      </w:pPr>
      <w:r w:rsidRPr="000F7983">
        <w:rPr>
          <w:rFonts w:asciiTheme="minorHAnsi" w:hAnsiTheme="minorHAnsi" w:cstheme="minorHAnsi"/>
          <w:i/>
          <w:iCs/>
          <w:color w:val="002060"/>
        </w:rPr>
        <w:t>The</w:t>
      </w:r>
      <w:r w:rsidR="001A647B">
        <w:rPr>
          <w:rFonts w:asciiTheme="minorHAnsi" w:hAnsiTheme="minorHAnsi" w:cstheme="minorHAnsi"/>
          <w:i/>
          <w:iCs/>
          <w:color w:val="002060"/>
        </w:rPr>
        <w:t xml:space="preserve"> </w:t>
      </w:r>
      <w:r w:rsidR="008C63E7">
        <w:rPr>
          <w:rFonts w:asciiTheme="minorHAnsi" w:hAnsiTheme="minorHAnsi" w:cstheme="minorHAnsi"/>
          <w:i/>
          <w:iCs/>
          <w:color w:val="002060"/>
        </w:rPr>
        <w:t xml:space="preserve">LMLC </w:t>
      </w:r>
      <w:r w:rsidR="008C63E7" w:rsidRPr="000F7983">
        <w:rPr>
          <w:rFonts w:asciiTheme="minorHAnsi" w:hAnsiTheme="minorHAnsi" w:cstheme="minorHAnsi"/>
          <w:i/>
          <w:iCs/>
          <w:color w:val="002060"/>
        </w:rPr>
        <w:t>NLOS</w:t>
      </w:r>
      <w:r w:rsidRPr="000F7983">
        <w:rPr>
          <w:rFonts w:asciiTheme="minorHAnsi" w:hAnsiTheme="minorHAnsi" w:cstheme="minorHAnsi"/>
          <w:i/>
          <w:iCs/>
          <w:color w:val="002060"/>
        </w:rPr>
        <w:t xml:space="preserve"> model for RMA is the same for both channel model A and channel model B</w:t>
      </w:r>
    </w:p>
    <w:p w14:paraId="13118A4C" w14:textId="5EC4300B" w:rsidR="00F31DAA" w:rsidRPr="000F7983" w:rsidRDefault="00F2047D" w:rsidP="00F31DAA">
      <w:pPr>
        <w:pStyle w:val="BodyText"/>
        <w:numPr>
          <w:ilvl w:val="0"/>
          <w:numId w:val="3"/>
        </w:numPr>
        <w:rPr>
          <w:rFonts w:asciiTheme="minorHAnsi" w:hAnsiTheme="minorHAnsi" w:cstheme="minorHAnsi"/>
          <w:i/>
          <w:iCs/>
          <w:color w:val="002060"/>
        </w:rPr>
      </w:pPr>
      <w:r w:rsidRPr="000F7983">
        <w:rPr>
          <w:rFonts w:asciiTheme="minorHAnsi" w:hAnsiTheme="minorHAnsi" w:cstheme="minorHAnsi"/>
          <w:i/>
          <w:iCs/>
          <w:color w:val="002060"/>
        </w:rPr>
        <w:t xml:space="preserve">In the following </w:t>
      </w:r>
      <w:r w:rsidR="00CE2D51" w:rsidRPr="000F7983">
        <w:rPr>
          <w:rFonts w:asciiTheme="minorHAnsi" w:hAnsiTheme="minorHAnsi" w:cstheme="minorHAnsi"/>
          <w:i/>
          <w:iCs/>
          <w:color w:val="002060"/>
        </w:rPr>
        <w:t>Figure, the</w:t>
      </w:r>
      <w:r w:rsidRPr="000F7983">
        <w:rPr>
          <w:rFonts w:asciiTheme="minorHAnsi" w:hAnsiTheme="minorHAnsi" w:cstheme="minorHAnsi"/>
          <w:i/>
          <w:iCs/>
          <w:color w:val="002060"/>
        </w:rPr>
        <w:t xml:space="preserve"> following path loss expressions</w:t>
      </w:r>
      <w:r w:rsidR="00586947">
        <w:rPr>
          <w:rFonts w:asciiTheme="minorHAnsi" w:hAnsiTheme="minorHAnsi" w:cstheme="minorHAnsi"/>
          <w:i/>
          <w:iCs/>
          <w:color w:val="002060"/>
        </w:rPr>
        <w:t xml:space="preserve"> versus distance (in log scale)</w:t>
      </w:r>
      <w:r w:rsidRPr="000F7983">
        <w:rPr>
          <w:rFonts w:asciiTheme="minorHAnsi" w:hAnsiTheme="minorHAnsi" w:cstheme="minorHAnsi"/>
          <w:i/>
          <w:iCs/>
          <w:color w:val="002060"/>
        </w:rPr>
        <w:t xml:space="preserve"> have been plotted</w:t>
      </w:r>
      <w:r w:rsidR="00F31DAA" w:rsidRPr="000F7983">
        <w:rPr>
          <w:rFonts w:asciiTheme="minorHAnsi" w:hAnsiTheme="minorHAnsi" w:cstheme="minorHAnsi"/>
          <w:i/>
          <w:iCs/>
          <w:color w:val="002060"/>
        </w:rPr>
        <w:t xml:space="preserve"> for 700 MHz frequency: </w:t>
      </w:r>
      <w:proofErr w:type="spellStart"/>
      <w:r w:rsidRPr="000F7983">
        <w:rPr>
          <w:color w:val="002060"/>
        </w:rPr>
        <w:t>PL</w:t>
      </w:r>
      <w:r w:rsidRPr="000F7983">
        <w:rPr>
          <w:color w:val="002060"/>
          <w:vertAlign w:val="subscript"/>
        </w:rPr>
        <w:t>RMa</w:t>
      </w:r>
      <w:proofErr w:type="spellEnd"/>
      <w:r w:rsidRPr="000F7983">
        <w:rPr>
          <w:color w:val="002060"/>
          <w:vertAlign w:val="subscript"/>
        </w:rPr>
        <w:t>-LOS</w:t>
      </w:r>
      <w:r w:rsidR="00F31DAA" w:rsidRPr="000F7983">
        <w:rPr>
          <w:color w:val="002060"/>
          <w:vertAlign w:val="subscript"/>
        </w:rPr>
        <w:t xml:space="preserve"> </w:t>
      </w:r>
      <w:r w:rsidR="00586947">
        <w:rPr>
          <w:i/>
          <w:iCs/>
          <w:color w:val="002060"/>
        </w:rPr>
        <w:t>(d</w:t>
      </w:r>
      <w:r w:rsidR="00586947" w:rsidRPr="003008C6">
        <w:rPr>
          <w:i/>
          <w:iCs/>
          <w:color w:val="002060"/>
          <w:vertAlign w:val="subscript"/>
        </w:rPr>
        <w:t>3d</w:t>
      </w:r>
      <w:r w:rsidR="00586947">
        <w:rPr>
          <w:i/>
          <w:iCs/>
          <w:color w:val="002060"/>
        </w:rPr>
        <w:t>)</w:t>
      </w:r>
      <w:r w:rsidR="00F31DAA" w:rsidRPr="000F7983">
        <w:rPr>
          <w:color w:val="002060"/>
        </w:rPr>
        <w:t xml:space="preserve">, </w:t>
      </w:r>
      <w:proofErr w:type="spellStart"/>
      <w:r w:rsidR="00F31DAA" w:rsidRPr="000F7983">
        <w:rPr>
          <w:color w:val="002060"/>
        </w:rPr>
        <w:t>PL’</w:t>
      </w:r>
      <w:r w:rsidR="00F31DAA" w:rsidRPr="000F7983">
        <w:rPr>
          <w:color w:val="002060"/>
          <w:vertAlign w:val="subscript"/>
        </w:rPr>
        <w:t>RMa</w:t>
      </w:r>
      <w:proofErr w:type="spellEnd"/>
      <w:r w:rsidR="00F31DAA" w:rsidRPr="000F7983">
        <w:rPr>
          <w:color w:val="002060"/>
          <w:vertAlign w:val="subscript"/>
        </w:rPr>
        <w:t>-NLOS</w:t>
      </w:r>
      <w:r w:rsidR="00586947">
        <w:rPr>
          <w:i/>
          <w:iCs/>
          <w:color w:val="002060"/>
        </w:rPr>
        <w:t>(d</w:t>
      </w:r>
      <w:r w:rsidR="00586947" w:rsidRPr="003008C6">
        <w:rPr>
          <w:i/>
          <w:iCs/>
          <w:color w:val="002060"/>
          <w:vertAlign w:val="subscript"/>
        </w:rPr>
        <w:t>3d</w:t>
      </w:r>
      <w:proofErr w:type="gramStart"/>
      <w:r w:rsidR="00586947">
        <w:rPr>
          <w:i/>
          <w:iCs/>
          <w:color w:val="002060"/>
        </w:rPr>
        <w:t>)</w:t>
      </w:r>
      <w:r w:rsidR="00F31DAA" w:rsidRPr="000F7983">
        <w:rPr>
          <w:color w:val="002060"/>
        </w:rPr>
        <w:t xml:space="preserve">,  </w:t>
      </w:r>
      <w:proofErr w:type="spellStart"/>
      <w:r w:rsidR="00F31DAA" w:rsidRPr="000F7983">
        <w:rPr>
          <w:color w:val="002060"/>
        </w:rPr>
        <w:t>PL’</w:t>
      </w:r>
      <w:r w:rsidR="00F31DAA" w:rsidRPr="000F7983">
        <w:rPr>
          <w:color w:val="002060"/>
          <w:vertAlign w:val="subscript"/>
        </w:rPr>
        <w:t>RMa</w:t>
      </w:r>
      <w:proofErr w:type="spellEnd"/>
      <w:proofErr w:type="gramEnd"/>
      <w:r w:rsidR="00F31DAA" w:rsidRPr="000F7983">
        <w:rPr>
          <w:color w:val="002060"/>
          <w:vertAlign w:val="subscript"/>
        </w:rPr>
        <w:t>-NLOS</w:t>
      </w:r>
      <w:r w:rsidR="00586947">
        <w:rPr>
          <w:i/>
          <w:iCs/>
          <w:color w:val="002060"/>
        </w:rPr>
        <w:t>(d</w:t>
      </w:r>
      <w:r w:rsidR="00586947" w:rsidRPr="003008C6">
        <w:rPr>
          <w:i/>
          <w:iCs/>
          <w:color w:val="002060"/>
          <w:vertAlign w:val="subscript"/>
        </w:rPr>
        <w:t>3d</w:t>
      </w:r>
      <w:r w:rsidR="00586947">
        <w:rPr>
          <w:i/>
          <w:iCs/>
          <w:color w:val="002060"/>
        </w:rPr>
        <w:t>)</w:t>
      </w:r>
      <w:r w:rsidR="00F31DAA" w:rsidRPr="000F7983">
        <w:rPr>
          <w:color w:val="002060"/>
        </w:rPr>
        <w:t xml:space="preserve"> -12 and PL</w:t>
      </w:r>
      <w:r w:rsidR="00F31DAA" w:rsidRPr="000F7983">
        <w:rPr>
          <w:color w:val="002060"/>
          <w:vertAlign w:val="subscript"/>
        </w:rPr>
        <w:t>LMLC</w:t>
      </w:r>
      <w:r w:rsidR="00586947">
        <w:rPr>
          <w:i/>
          <w:iCs/>
          <w:color w:val="002060"/>
        </w:rPr>
        <w:t>(d</w:t>
      </w:r>
      <w:r w:rsidR="00586947" w:rsidRPr="003008C6">
        <w:rPr>
          <w:i/>
          <w:iCs/>
          <w:color w:val="002060"/>
          <w:vertAlign w:val="subscript"/>
        </w:rPr>
        <w:t>3d</w:t>
      </w:r>
      <w:r w:rsidR="00586947">
        <w:rPr>
          <w:i/>
          <w:iCs/>
          <w:color w:val="002060"/>
        </w:rPr>
        <w:t>)</w:t>
      </w:r>
      <w:r w:rsidR="00F31DAA" w:rsidRPr="000F7983">
        <w:rPr>
          <w:color w:val="002060"/>
        </w:rPr>
        <w:t>=max(</w:t>
      </w:r>
      <w:proofErr w:type="spellStart"/>
      <w:r w:rsidR="00F31DAA" w:rsidRPr="000F7983">
        <w:rPr>
          <w:color w:val="002060"/>
        </w:rPr>
        <w:t>PL</w:t>
      </w:r>
      <w:r w:rsidR="00F31DAA" w:rsidRPr="000F7983">
        <w:rPr>
          <w:color w:val="002060"/>
          <w:vertAlign w:val="subscript"/>
        </w:rPr>
        <w:t>RMa</w:t>
      </w:r>
      <w:proofErr w:type="spellEnd"/>
      <w:r w:rsidR="00F31DAA" w:rsidRPr="000F7983">
        <w:rPr>
          <w:color w:val="002060"/>
          <w:vertAlign w:val="subscript"/>
        </w:rPr>
        <w:t>-LOS</w:t>
      </w:r>
      <w:r w:rsidR="00586947">
        <w:rPr>
          <w:i/>
          <w:iCs/>
          <w:color w:val="002060"/>
        </w:rPr>
        <w:t>(d</w:t>
      </w:r>
      <w:r w:rsidR="00586947" w:rsidRPr="003008C6">
        <w:rPr>
          <w:i/>
          <w:iCs/>
          <w:color w:val="002060"/>
          <w:vertAlign w:val="subscript"/>
        </w:rPr>
        <w:t>3d</w:t>
      </w:r>
      <w:r w:rsidR="00586947">
        <w:rPr>
          <w:i/>
          <w:iCs/>
          <w:color w:val="002060"/>
        </w:rPr>
        <w:t>)</w:t>
      </w:r>
      <w:r w:rsidR="00F31DAA" w:rsidRPr="000F7983">
        <w:rPr>
          <w:color w:val="002060"/>
        </w:rPr>
        <w:t xml:space="preserve">, </w:t>
      </w:r>
      <w:proofErr w:type="spellStart"/>
      <w:r w:rsidR="00F31DAA" w:rsidRPr="000F7983">
        <w:rPr>
          <w:color w:val="002060"/>
        </w:rPr>
        <w:t>PL’</w:t>
      </w:r>
      <w:r w:rsidR="00F31DAA" w:rsidRPr="000F7983">
        <w:rPr>
          <w:color w:val="002060"/>
          <w:vertAlign w:val="subscript"/>
        </w:rPr>
        <w:t>RMa</w:t>
      </w:r>
      <w:proofErr w:type="spellEnd"/>
      <w:r w:rsidR="00F31DAA" w:rsidRPr="000F7983">
        <w:rPr>
          <w:color w:val="002060"/>
          <w:vertAlign w:val="subscript"/>
        </w:rPr>
        <w:t>-NLOS</w:t>
      </w:r>
      <w:r w:rsidR="00586947">
        <w:rPr>
          <w:i/>
          <w:iCs/>
          <w:color w:val="002060"/>
        </w:rPr>
        <w:t>(d</w:t>
      </w:r>
      <w:r w:rsidR="00586947" w:rsidRPr="003008C6">
        <w:rPr>
          <w:i/>
          <w:iCs/>
          <w:color w:val="002060"/>
          <w:vertAlign w:val="subscript"/>
        </w:rPr>
        <w:t>3d</w:t>
      </w:r>
      <w:r w:rsidR="00586947">
        <w:rPr>
          <w:i/>
          <w:iCs/>
          <w:color w:val="002060"/>
        </w:rPr>
        <w:t>)</w:t>
      </w:r>
      <w:r w:rsidR="00F31DAA" w:rsidRPr="000F7983">
        <w:rPr>
          <w:color w:val="002060"/>
        </w:rPr>
        <w:t xml:space="preserve"> -12)</w:t>
      </w:r>
      <w:r w:rsidR="00586947">
        <w:rPr>
          <w:color w:val="002060"/>
        </w:rPr>
        <w:t xml:space="preserve">. </w:t>
      </w:r>
    </w:p>
    <w:p w14:paraId="0DAD7EA3" w14:textId="64769B9C" w:rsidR="00F2047D" w:rsidRPr="000F7983" w:rsidRDefault="00F2047D" w:rsidP="00F31DAA">
      <w:pPr>
        <w:pStyle w:val="BodyText"/>
        <w:ind w:left="1440"/>
        <w:rPr>
          <w:rFonts w:asciiTheme="minorHAnsi" w:hAnsiTheme="minorHAnsi" w:cstheme="minorHAnsi"/>
          <w:i/>
          <w:iCs/>
          <w:color w:val="002060"/>
        </w:rPr>
      </w:pPr>
    </w:p>
    <w:p w14:paraId="32D962D9" w14:textId="6AB6D0DE" w:rsidR="004E21E4" w:rsidRDefault="00A332DC" w:rsidP="004E21E4">
      <w:pPr>
        <w:keepNext/>
        <w:jc w:val="center"/>
      </w:pPr>
      <w:r>
        <w:rPr>
          <w:noProof/>
        </w:rPr>
        <w:drawing>
          <wp:inline distT="0" distB="0" distL="0" distR="0" wp14:anchorId="0277B250" wp14:editId="53F319C2">
            <wp:extent cx="3321969" cy="2870521"/>
            <wp:effectExtent l="0" t="0" r="5715" b="0"/>
            <wp:docPr id="13" name="Picture 1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MLC_path_loss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163" cy="289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3E6BF6" w14:textId="6053B232" w:rsidR="00F31DAA" w:rsidRPr="000F7983" w:rsidRDefault="004E21E4" w:rsidP="004E21E4">
      <w:pPr>
        <w:pStyle w:val="Caption"/>
        <w:jc w:val="center"/>
        <w:rPr>
          <w:color w:val="002060"/>
        </w:rPr>
      </w:pPr>
      <w:r>
        <w:t>Figure</w:t>
      </w:r>
      <w:r>
        <w:noBreakHyphen/>
      </w:r>
      <w:fldSimple w:instr=" SEQ Figure \* ARABIC \s 1 ">
        <w:r>
          <w:rPr>
            <w:noProof/>
          </w:rPr>
          <w:t>1</w:t>
        </w:r>
      </w:fldSimple>
      <w:r>
        <w:t>: Path loss model for LMLC. The parameters (</w:t>
      </w:r>
      <w:r w:rsidR="002B77E0">
        <w:t>h</w:t>
      </w:r>
      <w:r>
        <w:t>eight of BS, height of UE and other relevant parameters) were chosen according to the LMLC specification in M.2412.</w:t>
      </w:r>
    </w:p>
    <w:p w14:paraId="7032CCC7" w14:textId="51D44649" w:rsidR="00E23DF6" w:rsidRPr="000F7983" w:rsidRDefault="00F31DAA" w:rsidP="00E23DF6">
      <w:pPr>
        <w:rPr>
          <w:i/>
          <w:iCs/>
          <w:color w:val="002060"/>
        </w:rPr>
      </w:pPr>
      <w:r w:rsidRPr="000F7983">
        <w:rPr>
          <w:i/>
          <w:iCs/>
          <w:color w:val="002060"/>
        </w:rPr>
        <w:t>We observe that for distance greater than 1Km, PL</w:t>
      </w:r>
      <w:r w:rsidRPr="000F7983">
        <w:rPr>
          <w:i/>
          <w:iCs/>
          <w:color w:val="002060"/>
          <w:vertAlign w:val="subscript"/>
        </w:rPr>
        <w:t>LMLC</w:t>
      </w:r>
      <w:r w:rsidRPr="000F7983">
        <w:rPr>
          <w:i/>
          <w:iCs/>
          <w:color w:val="002060"/>
        </w:rPr>
        <w:t xml:space="preserve"> </w:t>
      </w:r>
      <w:r w:rsidR="003008C6">
        <w:rPr>
          <w:i/>
          <w:iCs/>
          <w:color w:val="002060"/>
        </w:rPr>
        <w:t>(d</w:t>
      </w:r>
      <w:r w:rsidR="003008C6" w:rsidRPr="003008C6">
        <w:rPr>
          <w:i/>
          <w:iCs/>
          <w:color w:val="002060"/>
          <w:vertAlign w:val="subscript"/>
        </w:rPr>
        <w:t>3</w:t>
      </w:r>
      <w:proofErr w:type="gramStart"/>
      <w:r w:rsidR="003008C6" w:rsidRPr="003008C6">
        <w:rPr>
          <w:i/>
          <w:iCs/>
          <w:color w:val="002060"/>
          <w:vertAlign w:val="subscript"/>
        </w:rPr>
        <w:t>d</w:t>
      </w:r>
      <w:r w:rsidR="003008C6">
        <w:rPr>
          <w:i/>
          <w:iCs/>
          <w:color w:val="002060"/>
        </w:rPr>
        <w:t>)</w:t>
      </w:r>
      <w:r w:rsidRPr="000F7983">
        <w:rPr>
          <w:i/>
          <w:iCs/>
          <w:color w:val="002060"/>
        </w:rPr>
        <w:t>=</w:t>
      </w:r>
      <w:proofErr w:type="gramEnd"/>
      <w:r w:rsidRPr="000F7983">
        <w:rPr>
          <w:i/>
          <w:iCs/>
          <w:color w:val="002060"/>
        </w:rPr>
        <w:t xml:space="preserve"> </w:t>
      </w:r>
      <w:proofErr w:type="spellStart"/>
      <w:r w:rsidRPr="000F7983">
        <w:rPr>
          <w:i/>
          <w:iCs/>
          <w:color w:val="002060"/>
        </w:rPr>
        <w:t>PL’</w:t>
      </w:r>
      <w:r w:rsidRPr="000F7983">
        <w:rPr>
          <w:i/>
          <w:iCs/>
          <w:color w:val="002060"/>
          <w:vertAlign w:val="subscript"/>
        </w:rPr>
        <w:t>RMa</w:t>
      </w:r>
      <w:proofErr w:type="spellEnd"/>
      <w:r w:rsidRPr="000F7983">
        <w:rPr>
          <w:i/>
          <w:iCs/>
          <w:color w:val="002060"/>
          <w:vertAlign w:val="subscript"/>
        </w:rPr>
        <w:t>-NLOS</w:t>
      </w:r>
      <w:r w:rsidRPr="000F7983">
        <w:rPr>
          <w:i/>
          <w:iCs/>
          <w:color w:val="002060"/>
        </w:rPr>
        <w:t xml:space="preserve"> </w:t>
      </w:r>
      <w:r w:rsidR="003008C6">
        <w:rPr>
          <w:i/>
          <w:iCs/>
          <w:color w:val="002060"/>
        </w:rPr>
        <w:t>(d</w:t>
      </w:r>
      <w:r w:rsidR="003008C6" w:rsidRPr="003008C6">
        <w:rPr>
          <w:i/>
          <w:iCs/>
          <w:color w:val="002060"/>
          <w:vertAlign w:val="subscript"/>
        </w:rPr>
        <w:t>3d</w:t>
      </w:r>
      <w:r w:rsidR="003008C6">
        <w:rPr>
          <w:i/>
          <w:iCs/>
          <w:color w:val="002060"/>
        </w:rPr>
        <w:t>)</w:t>
      </w:r>
      <w:r w:rsidRPr="000F7983">
        <w:rPr>
          <w:i/>
          <w:iCs/>
          <w:color w:val="002060"/>
        </w:rPr>
        <w:t xml:space="preserve">-12, i.e., </w:t>
      </w:r>
      <w:proofErr w:type="spellStart"/>
      <w:r w:rsidRPr="000F7983">
        <w:rPr>
          <w:rFonts w:cstheme="minorHAnsi"/>
          <w:i/>
          <w:iCs/>
          <w:color w:val="002060"/>
        </w:rPr>
        <w:t>PL’</w:t>
      </w:r>
      <w:r w:rsidRPr="000F7983">
        <w:rPr>
          <w:rFonts w:cstheme="minorHAnsi"/>
          <w:i/>
          <w:iCs/>
          <w:color w:val="002060"/>
          <w:vertAlign w:val="subscript"/>
        </w:rPr>
        <w:t>RMa</w:t>
      </w:r>
      <w:proofErr w:type="spellEnd"/>
      <w:r w:rsidRPr="000F7983">
        <w:rPr>
          <w:rFonts w:cstheme="minorHAnsi"/>
          <w:i/>
          <w:iCs/>
          <w:color w:val="002060"/>
          <w:vertAlign w:val="subscript"/>
        </w:rPr>
        <w:t>-NLOS</w:t>
      </w:r>
      <w:r w:rsidRPr="000F7983">
        <w:rPr>
          <w:rFonts w:cstheme="minorHAnsi"/>
          <w:i/>
          <w:iCs/>
          <w:color w:val="002060"/>
        </w:rPr>
        <w:t xml:space="preserve"> </w:t>
      </w:r>
      <w:r w:rsidR="003008C6">
        <w:rPr>
          <w:i/>
          <w:iCs/>
          <w:color w:val="002060"/>
        </w:rPr>
        <w:t>(d</w:t>
      </w:r>
      <w:r w:rsidR="003008C6" w:rsidRPr="003008C6">
        <w:rPr>
          <w:i/>
          <w:iCs/>
          <w:color w:val="002060"/>
          <w:vertAlign w:val="subscript"/>
        </w:rPr>
        <w:t>3d</w:t>
      </w:r>
      <w:r w:rsidR="003008C6">
        <w:rPr>
          <w:i/>
          <w:iCs/>
          <w:color w:val="002060"/>
        </w:rPr>
        <w:t>)</w:t>
      </w:r>
      <w:r w:rsidRPr="000F7983">
        <w:rPr>
          <w:rFonts w:cstheme="minorHAnsi"/>
          <w:i/>
          <w:iCs/>
          <w:color w:val="002060"/>
        </w:rPr>
        <w:t xml:space="preserve">-12 &gt; </w:t>
      </w:r>
      <w:proofErr w:type="spellStart"/>
      <w:r w:rsidRPr="000F7983">
        <w:rPr>
          <w:rFonts w:cstheme="minorHAnsi"/>
          <w:i/>
          <w:iCs/>
          <w:color w:val="002060"/>
        </w:rPr>
        <w:t>PL</w:t>
      </w:r>
      <w:r w:rsidRPr="000F7983">
        <w:rPr>
          <w:rFonts w:cstheme="minorHAnsi"/>
          <w:i/>
          <w:iCs/>
          <w:color w:val="002060"/>
          <w:vertAlign w:val="subscript"/>
        </w:rPr>
        <w:t>RMa</w:t>
      </w:r>
      <w:proofErr w:type="spellEnd"/>
      <w:r w:rsidRPr="000F7983">
        <w:rPr>
          <w:rFonts w:cstheme="minorHAnsi"/>
          <w:i/>
          <w:iCs/>
          <w:color w:val="002060"/>
          <w:vertAlign w:val="subscript"/>
        </w:rPr>
        <w:t>-</w:t>
      </w:r>
      <w:r w:rsidR="005761F0" w:rsidRPr="000F7983">
        <w:rPr>
          <w:rFonts w:cstheme="minorHAnsi"/>
          <w:i/>
          <w:iCs/>
          <w:color w:val="002060"/>
          <w:vertAlign w:val="subscript"/>
        </w:rPr>
        <w:t>LOS</w:t>
      </w:r>
      <w:r w:rsidR="003008C6">
        <w:rPr>
          <w:i/>
          <w:iCs/>
          <w:color w:val="002060"/>
        </w:rPr>
        <w:t>(d</w:t>
      </w:r>
      <w:r w:rsidR="003008C6" w:rsidRPr="003008C6">
        <w:rPr>
          <w:i/>
          <w:iCs/>
          <w:color w:val="002060"/>
          <w:vertAlign w:val="subscript"/>
        </w:rPr>
        <w:t>3d</w:t>
      </w:r>
      <w:r w:rsidR="003008C6">
        <w:rPr>
          <w:i/>
          <w:iCs/>
          <w:color w:val="002060"/>
        </w:rPr>
        <w:t>)</w:t>
      </w:r>
      <w:r w:rsidR="005761F0" w:rsidRPr="000F7983">
        <w:rPr>
          <w:rFonts w:cstheme="minorHAnsi"/>
          <w:i/>
          <w:iCs/>
          <w:color w:val="002060"/>
        </w:rPr>
        <w:t>.</w:t>
      </w:r>
      <w:r w:rsidRPr="000F7983">
        <w:rPr>
          <w:rFonts w:cstheme="minorHAnsi"/>
          <w:i/>
          <w:iCs/>
          <w:color w:val="002060"/>
        </w:rPr>
        <w:t xml:space="preserve"> Since the distances we consider and the path-loss is in the range of 140 dB, we can use </w:t>
      </w:r>
      <w:proofErr w:type="spellStart"/>
      <w:r w:rsidRPr="000F7983">
        <w:rPr>
          <w:i/>
          <w:iCs/>
          <w:color w:val="002060"/>
        </w:rPr>
        <w:t>PL’</w:t>
      </w:r>
      <w:r w:rsidRPr="000F7983">
        <w:rPr>
          <w:i/>
          <w:iCs/>
          <w:color w:val="002060"/>
          <w:vertAlign w:val="subscript"/>
        </w:rPr>
        <w:t>RMa</w:t>
      </w:r>
      <w:proofErr w:type="spellEnd"/>
      <w:r w:rsidRPr="000F7983">
        <w:rPr>
          <w:i/>
          <w:iCs/>
          <w:color w:val="002060"/>
          <w:vertAlign w:val="subscript"/>
        </w:rPr>
        <w:t>-NLOS</w:t>
      </w:r>
      <w:r w:rsidR="003008C6">
        <w:rPr>
          <w:i/>
          <w:iCs/>
          <w:color w:val="002060"/>
        </w:rPr>
        <w:t>(d</w:t>
      </w:r>
      <w:r w:rsidR="003008C6" w:rsidRPr="003008C6">
        <w:rPr>
          <w:i/>
          <w:iCs/>
          <w:color w:val="002060"/>
          <w:vertAlign w:val="subscript"/>
        </w:rPr>
        <w:t>3d</w:t>
      </w:r>
      <w:r w:rsidR="003008C6">
        <w:rPr>
          <w:i/>
          <w:iCs/>
          <w:color w:val="002060"/>
        </w:rPr>
        <w:t>)</w:t>
      </w:r>
      <w:r w:rsidRPr="000F7983">
        <w:rPr>
          <w:i/>
          <w:iCs/>
          <w:color w:val="002060"/>
        </w:rPr>
        <w:t xml:space="preserve"> -12 as the LMLC path loss model. This observation</w:t>
      </w:r>
      <w:r w:rsidR="00E23DF6" w:rsidRPr="000F7983">
        <w:rPr>
          <w:i/>
          <w:iCs/>
          <w:color w:val="002060"/>
        </w:rPr>
        <w:t xml:space="preserve"> enables us to compute the distance (inverse of the path-loss</w:t>
      </w:r>
      <w:r w:rsidR="00F37129" w:rsidRPr="000F7983">
        <w:rPr>
          <w:i/>
          <w:iCs/>
          <w:color w:val="002060"/>
        </w:rPr>
        <w:t xml:space="preserve"> at around 140 dB) </w:t>
      </w:r>
      <w:r w:rsidR="00E23DF6" w:rsidRPr="000F7983">
        <w:rPr>
          <w:i/>
          <w:iCs/>
          <w:color w:val="002060"/>
        </w:rPr>
        <w:t>using a single-</w:t>
      </w:r>
      <w:r w:rsidR="005761F0" w:rsidRPr="000F7983">
        <w:rPr>
          <w:i/>
          <w:iCs/>
          <w:color w:val="002060"/>
        </w:rPr>
        <w:t>expression PLLMLC</w:t>
      </w:r>
      <w:r w:rsidR="003008C6">
        <w:rPr>
          <w:i/>
          <w:iCs/>
          <w:color w:val="002060"/>
        </w:rPr>
        <w:t>(d</w:t>
      </w:r>
      <w:r w:rsidR="003008C6" w:rsidRPr="003008C6">
        <w:rPr>
          <w:i/>
          <w:iCs/>
          <w:color w:val="002060"/>
          <w:vertAlign w:val="subscript"/>
        </w:rPr>
        <w:t>3d</w:t>
      </w:r>
      <w:r w:rsidR="003008C6">
        <w:rPr>
          <w:i/>
          <w:iCs/>
          <w:color w:val="002060"/>
        </w:rPr>
        <w:t>)</w:t>
      </w:r>
      <w:r w:rsidR="00E23DF6" w:rsidRPr="000F7983">
        <w:rPr>
          <w:color w:val="002060"/>
        </w:rPr>
        <w:t xml:space="preserve"> = </w:t>
      </w:r>
      <w:proofErr w:type="spellStart"/>
      <w:r w:rsidR="00E23DF6" w:rsidRPr="000F7983">
        <w:rPr>
          <w:color w:val="002060"/>
        </w:rPr>
        <w:t>PL’</w:t>
      </w:r>
      <w:r w:rsidR="00E23DF6" w:rsidRPr="000F7983">
        <w:rPr>
          <w:color w:val="002060"/>
          <w:vertAlign w:val="subscript"/>
        </w:rPr>
        <w:t>RMa</w:t>
      </w:r>
      <w:proofErr w:type="spellEnd"/>
      <w:r w:rsidR="00E23DF6" w:rsidRPr="000F7983">
        <w:rPr>
          <w:color w:val="002060"/>
          <w:vertAlign w:val="subscript"/>
        </w:rPr>
        <w:t>-NLOS</w:t>
      </w:r>
      <w:r w:rsidR="003008C6">
        <w:rPr>
          <w:i/>
          <w:iCs/>
          <w:color w:val="002060"/>
        </w:rPr>
        <w:t>(d</w:t>
      </w:r>
      <w:r w:rsidR="003008C6" w:rsidRPr="003008C6">
        <w:rPr>
          <w:i/>
          <w:iCs/>
          <w:color w:val="002060"/>
          <w:vertAlign w:val="subscript"/>
        </w:rPr>
        <w:t>3d</w:t>
      </w:r>
      <w:r w:rsidR="003008C6">
        <w:rPr>
          <w:i/>
          <w:iCs/>
          <w:color w:val="002060"/>
        </w:rPr>
        <w:t>)</w:t>
      </w:r>
      <w:r w:rsidR="00E23DF6" w:rsidRPr="000F7983">
        <w:rPr>
          <w:color w:val="002060"/>
        </w:rPr>
        <w:t xml:space="preserve"> -</w:t>
      </w:r>
      <w:r w:rsidR="005761F0" w:rsidRPr="000F7983">
        <w:rPr>
          <w:color w:val="002060"/>
        </w:rPr>
        <w:t>12.</w:t>
      </w:r>
      <w:r w:rsidR="00E23DF6" w:rsidRPr="000F7983">
        <w:rPr>
          <w:color w:val="002060"/>
        </w:rPr>
        <w:t xml:space="preserve"> </w:t>
      </w:r>
      <w:r w:rsidR="00E23DF6" w:rsidRPr="000F7983">
        <w:rPr>
          <w:i/>
          <w:iCs/>
          <w:color w:val="002060"/>
        </w:rPr>
        <w:t>This implies that 12 dB has to be added while calculating the distance using the available path loss and is computed using the following expression in the link-budget sheet:</w:t>
      </w:r>
    </w:p>
    <w:p w14:paraId="67E6E20E" w14:textId="41025E6C" w:rsidR="00E23DF6" w:rsidRDefault="00E23DF6" w:rsidP="00E23DF6">
      <w:pPr>
        <w:rPr>
          <w:i/>
          <w:iCs/>
          <w:color w:val="002060"/>
        </w:rPr>
      </w:pPr>
      <w:r w:rsidRPr="000F7983">
        <w:rPr>
          <w:i/>
          <w:iCs/>
          <w:color w:val="002060"/>
        </w:rPr>
        <w:t>10^(</w:t>
      </w:r>
      <w:r w:rsidRPr="00F47304">
        <w:rPr>
          <w:i/>
          <w:iCs/>
          <w:color w:val="002060"/>
          <w:highlight w:val="green"/>
        </w:rPr>
        <w:t>3</w:t>
      </w:r>
      <w:r w:rsidRPr="000F7983">
        <w:rPr>
          <w:i/>
          <w:iCs/>
          <w:color w:val="002060"/>
        </w:rPr>
        <w:t>+(B63-161.04+</w:t>
      </w:r>
      <w:r w:rsidRPr="000F7983">
        <w:rPr>
          <w:i/>
          <w:iCs/>
          <w:color w:val="002060"/>
          <w:highlight w:val="green"/>
        </w:rPr>
        <w:t>12</w:t>
      </w:r>
      <w:r w:rsidRPr="000F7983">
        <w:rPr>
          <w:i/>
          <w:iCs/>
          <w:color w:val="002060"/>
        </w:rPr>
        <w:t>+7.1*LOG10(20)-7.5*LOG10(5)+(24.37-3.7*(5/B$5)^2)*LOG10(B$5)-20*LOG10(B$4)+(3.2*(LOG10(11.75*B$6))^2-4.97))/(43.42-3.1*LOG10(B$5))).</w:t>
      </w:r>
    </w:p>
    <w:p w14:paraId="1D00E816" w14:textId="4570D2C8" w:rsidR="00601EF4" w:rsidRPr="000F7983" w:rsidRDefault="00601EF4" w:rsidP="00E23DF6">
      <w:pPr>
        <w:rPr>
          <w:i/>
          <w:iCs/>
          <w:color w:val="002060"/>
        </w:rPr>
      </w:pPr>
      <w:r>
        <w:rPr>
          <w:color w:val="002060"/>
        </w:rPr>
        <w:t>Hence 12</w:t>
      </w:r>
      <w:r w:rsidR="00586947">
        <w:rPr>
          <w:color w:val="002060"/>
        </w:rPr>
        <w:t xml:space="preserve"> (dB)</w:t>
      </w:r>
      <w:r>
        <w:rPr>
          <w:color w:val="002060"/>
        </w:rPr>
        <w:t xml:space="preserve"> comes due to the path loss model and the factor 3 is already present in the RMA model.</w:t>
      </w:r>
    </w:p>
    <w:p w14:paraId="5B5AD7D0" w14:textId="77777777" w:rsidR="00F37129" w:rsidRPr="000F7983" w:rsidRDefault="00F37129" w:rsidP="006E2C57">
      <w:pPr>
        <w:pStyle w:val="BodyText"/>
        <w:ind w:left="0"/>
        <w:rPr>
          <w:rFonts w:asciiTheme="minorHAnsi" w:hAnsiTheme="minorHAnsi" w:cstheme="minorHAnsi"/>
          <w:i/>
          <w:iCs/>
          <w:color w:val="002060"/>
        </w:rPr>
      </w:pPr>
    </w:p>
    <w:p w14:paraId="784FF654" w14:textId="6C5D3F4F" w:rsidR="002B2E11" w:rsidRDefault="00F31DAA" w:rsidP="006E2C57">
      <w:pPr>
        <w:pStyle w:val="BodyText"/>
        <w:ind w:left="0"/>
        <w:rPr>
          <w:rFonts w:asciiTheme="minorHAnsi" w:hAnsiTheme="minorHAnsi" w:cstheme="minorHAnsi"/>
          <w:i/>
          <w:iCs/>
          <w:color w:val="002060"/>
        </w:rPr>
      </w:pPr>
      <w:r w:rsidRPr="000F7983">
        <w:rPr>
          <w:rFonts w:asciiTheme="minorHAnsi" w:hAnsiTheme="minorHAnsi" w:cstheme="minorHAnsi"/>
          <w:i/>
          <w:iCs/>
          <w:color w:val="002060"/>
        </w:rPr>
        <w:t>In the SE evaluation, for the system-level-sim</w:t>
      </w:r>
      <w:r w:rsidR="00E23DF6" w:rsidRPr="000F7983">
        <w:rPr>
          <w:rFonts w:asciiTheme="minorHAnsi" w:hAnsiTheme="minorHAnsi" w:cstheme="minorHAnsi"/>
          <w:i/>
          <w:iCs/>
          <w:color w:val="002060"/>
        </w:rPr>
        <w:t>ulation</w:t>
      </w:r>
      <w:r w:rsidR="00F37129" w:rsidRPr="000F7983">
        <w:rPr>
          <w:rFonts w:asciiTheme="minorHAnsi" w:hAnsiTheme="minorHAnsi" w:cstheme="minorHAnsi"/>
          <w:i/>
          <w:iCs/>
          <w:color w:val="002060"/>
        </w:rPr>
        <w:t xml:space="preserve"> which requires computing the path-loss at various distances, the expression as provided by M.2412</w:t>
      </w:r>
      <w:r w:rsidR="00FF4227">
        <w:rPr>
          <w:rFonts w:asciiTheme="minorHAnsi" w:hAnsiTheme="minorHAnsi" w:cstheme="minorHAnsi"/>
          <w:i/>
          <w:iCs/>
          <w:color w:val="002060"/>
        </w:rPr>
        <w:t xml:space="preserve"> (with all the Max operators)</w:t>
      </w:r>
      <w:r w:rsidR="00F37129" w:rsidRPr="000F7983">
        <w:rPr>
          <w:rFonts w:asciiTheme="minorHAnsi" w:hAnsiTheme="minorHAnsi" w:cstheme="minorHAnsi"/>
          <w:i/>
          <w:iCs/>
          <w:color w:val="002060"/>
        </w:rPr>
        <w:t xml:space="preserve"> is used</w:t>
      </w:r>
      <w:r w:rsidR="000E6A2B" w:rsidRPr="000F7983">
        <w:rPr>
          <w:rFonts w:asciiTheme="minorHAnsi" w:hAnsiTheme="minorHAnsi" w:cstheme="minorHAnsi"/>
          <w:i/>
          <w:iCs/>
          <w:color w:val="002060"/>
        </w:rPr>
        <w:t xml:space="preserve"> as this would not require computing the inverse. </w:t>
      </w:r>
    </w:p>
    <w:p w14:paraId="03218B65" w14:textId="4E02ACD4" w:rsidR="00FE02C2" w:rsidRPr="000F7983" w:rsidRDefault="00FE02C2" w:rsidP="006E2C57">
      <w:pPr>
        <w:pStyle w:val="BodyText"/>
        <w:ind w:left="0"/>
        <w:rPr>
          <w:rFonts w:asciiTheme="minorHAnsi" w:hAnsiTheme="minorHAnsi" w:cstheme="minorHAnsi"/>
          <w:i/>
          <w:iCs/>
          <w:color w:val="002060"/>
        </w:rPr>
      </w:pPr>
      <w:r>
        <w:rPr>
          <w:rFonts w:asciiTheme="minorHAnsi" w:hAnsiTheme="minorHAnsi" w:cstheme="minorHAnsi"/>
          <w:i/>
          <w:iCs/>
          <w:color w:val="002060"/>
        </w:rPr>
        <w:lastRenderedPageBreak/>
        <w:t>We also appreciate comparing the RMA models used by TSDSI and 3GPP. However, we would like to point out that 3GPP has not provided link budget sheets for LMLC</w:t>
      </w:r>
      <w:r w:rsidR="00F5373D">
        <w:rPr>
          <w:rFonts w:asciiTheme="minorHAnsi" w:hAnsiTheme="minorHAnsi" w:cstheme="minorHAnsi"/>
          <w:i/>
          <w:iCs/>
          <w:color w:val="002060"/>
        </w:rPr>
        <w:t xml:space="preserve">. </w:t>
      </w:r>
    </w:p>
    <w:p w14:paraId="4632AA37" w14:textId="1126C630" w:rsidR="002B2E11" w:rsidRDefault="002B2E11" w:rsidP="00F31DAA">
      <w:pPr>
        <w:pStyle w:val="BodyText"/>
        <w:ind w:left="0"/>
        <w:jc w:val="center"/>
        <w:rPr>
          <w:rFonts w:asciiTheme="minorHAnsi" w:hAnsiTheme="minorHAnsi" w:cstheme="minorHAnsi"/>
        </w:rPr>
      </w:pPr>
    </w:p>
    <w:p w14:paraId="6F1BB85D" w14:textId="77777777" w:rsidR="002B2E11" w:rsidRDefault="002B2E11" w:rsidP="006E2C57">
      <w:pPr>
        <w:pStyle w:val="BodyText"/>
        <w:ind w:left="0"/>
        <w:rPr>
          <w:rFonts w:asciiTheme="minorHAnsi" w:hAnsiTheme="minorHAnsi" w:cstheme="minorHAnsi"/>
        </w:rPr>
      </w:pPr>
    </w:p>
    <w:p w14:paraId="29A76B36" w14:textId="0BAB5A94" w:rsidR="006E2C57" w:rsidRPr="005352A0" w:rsidRDefault="006E2C57" w:rsidP="006E2C57">
      <w:pPr>
        <w:pStyle w:val="BodyText"/>
        <w:ind w:left="0"/>
        <w:rPr>
          <w:rFonts w:asciiTheme="minorHAnsi" w:hAnsiTheme="minorHAnsi" w:cstheme="minorHAnsi"/>
        </w:rPr>
      </w:pPr>
      <w:r w:rsidRPr="005352A0">
        <w:rPr>
          <w:rFonts w:asciiTheme="minorHAnsi" w:hAnsiTheme="minorHAnsi" w:cstheme="minorHAnsi"/>
        </w:rPr>
        <w:t xml:space="preserve">3. </w:t>
      </w:r>
      <w:r w:rsidRPr="00A83357">
        <w:rPr>
          <w:rFonts w:asciiTheme="minorHAnsi" w:hAnsiTheme="minorHAnsi" w:cstheme="minorHAnsi"/>
          <w:b/>
        </w:rPr>
        <w:t>S</w:t>
      </w:r>
      <w:r w:rsidR="004E6971">
        <w:rPr>
          <w:rFonts w:asciiTheme="minorHAnsi" w:hAnsiTheme="minorHAnsi" w:cstheme="minorHAnsi"/>
          <w:b/>
        </w:rPr>
        <w:t>I</w:t>
      </w:r>
      <w:r w:rsidRPr="00A83357">
        <w:rPr>
          <w:rFonts w:asciiTheme="minorHAnsi" w:hAnsiTheme="minorHAnsi" w:cstheme="minorHAnsi"/>
          <w:b/>
        </w:rPr>
        <w:t>NR for UL PUSCH</w:t>
      </w:r>
      <w:r>
        <w:rPr>
          <w:rFonts w:asciiTheme="minorHAnsi" w:hAnsiTheme="minorHAnsi" w:cstheme="minorHAnsi"/>
          <w:b/>
        </w:rPr>
        <w:t xml:space="preserve"> and PUCCH</w:t>
      </w:r>
      <w:r w:rsidR="004E6971">
        <w:rPr>
          <w:rFonts w:asciiTheme="minorHAnsi" w:hAnsiTheme="minorHAnsi" w:cstheme="minorHAnsi"/>
          <w:b/>
        </w:rPr>
        <w:t xml:space="preserve"> and average spectral efficiency (SE) for LMLC</w:t>
      </w:r>
    </w:p>
    <w:p w14:paraId="7811C170" w14:textId="5B0CFDDE" w:rsidR="004E6971" w:rsidRDefault="004E6971" w:rsidP="006E2C57">
      <w:pPr>
        <w:pStyle w:val="BodyText"/>
        <w:ind w:left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Given the UE speed correction and the 12 dB gain factor</w:t>
      </w:r>
      <w:r w:rsidR="00C45C5D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>, the CEG believes that the SINR</w:t>
      </w:r>
      <w:r w:rsidR="00C45C5D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 xml:space="preserve"> for PUSCH and PUCCH and the </w:t>
      </w:r>
      <w:r w:rsidR="00C45C5D">
        <w:rPr>
          <w:rFonts w:asciiTheme="minorHAnsi" w:hAnsiTheme="minorHAnsi" w:cstheme="minorHAnsi"/>
          <w:lang w:val="en-US"/>
        </w:rPr>
        <w:t xml:space="preserve">average </w:t>
      </w:r>
      <w:r>
        <w:rPr>
          <w:rFonts w:asciiTheme="minorHAnsi" w:hAnsiTheme="minorHAnsi" w:cstheme="minorHAnsi"/>
          <w:lang w:val="en-US"/>
        </w:rPr>
        <w:t>SE</w:t>
      </w:r>
      <w:r w:rsidR="00C45C5D">
        <w:rPr>
          <w:rFonts w:asciiTheme="minorHAnsi" w:hAnsiTheme="minorHAnsi" w:cstheme="minorHAnsi"/>
          <w:lang w:val="en-US"/>
        </w:rPr>
        <w:t xml:space="preserve">, all obviously on the UL, </w:t>
      </w:r>
      <w:r w:rsidR="00B57C98">
        <w:rPr>
          <w:rFonts w:asciiTheme="minorHAnsi" w:hAnsiTheme="minorHAnsi" w:cstheme="minorHAnsi"/>
          <w:lang w:val="en-US"/>
        </w:rPr>
        <w:t>w</w:t>
      </w:r>
      <w:r w:rsidR="00C45C5D">
        <w:rPr>
          <w:rFonts w:asciiTheme="minorHAnsi" w:hAnsiTheme="minorHAnsi" w:cstheme="minorHAnsi"/>
          <w:lang w:val="en-US"/>
        </w:rPr>
        <w:t>ould be</w:t>
      </w:r>
      <w:r w:rsidR="00B57C98">
        <w:rPr>
          <w:rFonts w:asciiTheme="minorHAnsi" w:hAnsiTheme="minorHAnsi" w:cstheme="minorHAnsi"/>
          <w:lang w:val="en-US"/>
        </w:rPr>
        <w:t>nefit from a re-computation</w:t>
      </w:r>
      <w:r w:rsidR="00C45C5D">
        <w:rPr>
          <w:rFonts w:asciiTheme="minorHAnsi" w:hAnsiTheme="minorHAnsi" w:cstheme="minorHAnsi"/>
          <w:lang w:val="en-US"/>
        </w:rPr>
        <w:t xml:space="preserve">. It is </w:t>
      </w:r>
      <w:r w:rsidR="00521243">
        <w:rPr>
          <w:rFonts w:asciiTheme="minorHAnsi" w:hAnsiTheme="minorHAnsi" w:cstheme="minorHAnsi"/>
          <w:lang w:val="en-US"/>
        </w:rPr>
        <w:t>unclear</w:t>
      </w:r>
      <w:r w:rsidR="00C45C5D">
        <w:rPr>
          <w:rFonts w:asciiTheme="minorHAnsi" w:hAnsiTheme="minorHAnsi" w:cstheme="minorHAnsi"/>
          <w:lang w:val="en-US"/>
        </w:rPr>
        <w:t xml:space="preserve"> how an SINR and the consequent SE, established for an ISD of 1.732 km, can remain unchanged when the ISD is increased to 6 km? Without a substantial increase in UL power, a near six-fold increase in distance with limited power budgets </w:t>
      </w:r>
      <w:r w:rsidR="0057096C">
        <w:rPr>
          <w:rFonts w:asciiTheme="minorHAnsi" w:hAnsiTheme="minorHAnsi" w:cstheme="minorHAnsi"/>
          <w:lang w:val="en-US"/>
        </w:rPr>
        <w:t>should</w:t>
      </w:r>
      <w:r w:rsidR="00C45C5D">
        <w:rPr>
          <w:rFonts w:asciiTheme="minorHAnsi" w:hAnsiTheme="minorHAnsi" w:cstheme="minorHAnsi"/>
          <w:lang w:val="en-US"/>
        </w:rPr>
        <w:t xml:space="preserve"> lead to lower SINRs and therefore </w:t>
      </w:r>
      <w:r w:rsidR="0057096C">
        <w:rPr>
          <w:rFonts w:asciiTheme="minorHAnsi" w:hAnsiTheme="minorHAnsi" w:cstheme="minorHAnsi"/>
          <w:lang w:val="en-US"/>
        </w:rPr>
        <w:t xml:space="preserve">lower </w:t>
      </w:r>
      <w:r w:rsidR="00C45C5D">
        <w:rPr>
          <w:rFonts w:asciiTheme="minorHAnsi" w:hAnsiTheme="minorHAnsi" w:cstheme="minorHAnsi"/>
          <w:lang w:val="en-US"/>
        </w:rPr>
        <w:t xml:space="preserve">average SEs. </w:t>
      </w:r>
    </w:p>
    <w:p w14:paraId="16155D78" w14:textId="77777777" w:rsidR="00C45C5D" w:rsidRDefault="00C45C5D" w:rsidP="006E2C57">
      <w:pPr>
        <w:rPr>
          <w:b/>
          <w:lang w:val="en-GB"/>
        </w:rPr>
      </w:pPr>
    </w:p>
    <w:p w14:paraId="06D0F0C1" w14:textId="7B3398F8" w:rsidR="009C36A4" w:rsidRDefault="006E2C57" w:rsidP="009C36A4">
      <w:pPr>
        <w:rPr>
          <w:lang w:val="en-GB"/>
        </w:rPr>
      </w:pPr>
      <w:r w:rsidRPr="00A83357">
        <w:rPr>
          <w:b/>
          <w:lang w:val="en-GB"/>
        </w:rPr>
        <w:t>Suggestion:</w:t>
      </w:r>
      <w:r>
        <w:rPr>
          <w:lang w:val="en-GB"/>
        </w:rPr>
        <w:t xml:space="preserve"> </w:t>
      </w:r>
      <w:r w:rsidR="00C45C5D">
        <w:rPr>
          <w:lang w:val="en-GB"/>
        </w:rPr>
        <w:t xml:space="preserve">The </w:t>
      </w:r>
      <w:r>
        <w:rPr>
          <w:lang w:val="en-GB"/>
        </w:rPr>
        <w:t xml:space="preserve">CEG </w:t>
      </w:r>
      <w:r w:rsidR="00C45C5D">
        <w:rPr>
          <w:lang w:val="en-GB"/>
        </w:rPr>
        <w:t xml:space="preserve">would </w:t>
      </w:r>
      <w:r w:rsidR="00E04CCE">
        <w:rPr>
          <w:lang w:val="en-GB"/>
        </w:rPr>
        <w:t>request</w:t>
      </w:r>
      <w:r w:rsidR="00C45C5D">
        <w:rPr>
          <w:lang w:val="en-GB"/>
        </w:rPr>
        <w:t xml:space="preserve"> TSDSI t</w:t>
      </w:r>
      <w:r w:rsidR="006E6701">
        <w:rPr>
          <w:lang w:val="en-GB"/>
        </w:rPr>
        <w:t>o</w:t>
      </w:r>
      <w:r w:rsidR="00C45C5D">
        <w:rPr>
          <w:lang w:val="en-GB"/>
        </w:rPr>
        <w:t xml:space="preserve"> </w:t>
      </w:r>
      <w:r w:rsidR="004F265B">
        <w:rPr>
          <w:lang w:val="en-GB"/>
        </w:rPr>
        <w:t xml:space="preserve">consider </w:t>
      </w:r>
      <w:r w:rsidR="00C45C5D">
        <w:rPr>
          <w:lang w:val="en-GB"/>
        </w:rPr>
        <w:t xml:space="preserve">a) </w:t>
      </w:r>
      <w:r w:rsidR="006E6701">
        <w:rPr>
          <w:lang w:val="en-GB"/>
        </w:rPr>
        <w:t xml:space="preserve">deriving </w:t>
      </w:r>
      <w:r>
        <w:rPr>
          <w:lang w:val="en-GB"/>
        </w:rPr>
        <w:t>the S</w:t>
      </w:r>
      <w:r w:rsidR="00C45C5D">
        <w:rPr>
          <w:lang w:val="en-GB"/>
        </w:rPr>
        <w:t>I</w:t>
      </w:r>
      <w:r>
        <w:rPr>
          <w:lang w:val="en-GB"/>
        </w:rPr>
        <w:t>NR value</w:t>
      </w:r>
      <w:r w:rsidR="006E6701">
        <w:rPr>
          <w:lang w:val="en-GB"/>
        </w:rPr>
        <w:t>s</w:t>
      </w:r>
      <w:r>
        <w:rPr>
          <w:lang w:val="en-GB"/>
        </w:rPr>
        <w:t xml:space="preserve"> based on the delay spread for </w:t>
      </w:r>
      <w:r w:rsidR="0023729C">
        <w:rPr>
          <w:lang w:val="en-GB"/>
        </w:rPr>
        <w:t xml:space="preserve">a UE speed of </w:t>
      </w:r>
      <w:r>
        <w:rPr>
          <w:lang w:val="en-GB"/>
        </w:rPr>
        <w:t>30 km/h</w:t>
      </w:r>
      <w:r w:rsidR="00C45C5D">
        <w:rPr>
          <w:lang w:val="en-GB"/>
        </w:rPr>
        <w:t xml:space="preserve"> </w:t>
      </w:r>
      <w:r w:rsidR="00F927F3">
        <w:rPr>
          <w:lang w:val="en-GB"/>
        </w:rPr>
        <w:t xml:space="preserve">and then </w:t>
      </w:r>
      <w:r w:rsidR="00C45C5D">
        <w:rPr>
          <w:lang w:val="en-GB"/>
        </w:rPr>
        <w:t xml:space="preserve">b) </w:t>
      </w:r>
      <w:r w:rsidR="006D7198">
        <w:rPr>
          <w:lang w:val="en-GB"/>
        </w:rPr>
        <w:t>applying the ‘max’ mathematical operation</w:t>
      </w:r>
      <w:r w:rsidR="00FF6130">
        <w:rPr>
          <w:lang w:val="en-GB"/>
        </w:rPr>
        <w:t>/</w:t>
      </w:r>
      <w:r w:rsidR="00C45C5D">
        <w:rPr>
          <w:lang w:val="en-GB"/>
        </w:rPr>
        <w:t xml:space="preserve">formula for </w:t>
      </w:r>
      <w:r w:rsidR="006A5ABF">
        <w:rPr>
          <w:lang w:val="en-GB"/>
        </w:rPr>
        <w:t>path</w:t>
      </w:r>
      <w:r w:rsidR="001A1F98">
        <w:rPr>
          <w:lang w:val="en-GB"/>
        </w:rPr>
        <w:t>-loss</w:t>
      </w:r>
      <w:r w:rsidR="00C45C5D">
        <w:rPr>
          <w:lang w:val="en-GB"/>
        </w:rPr>
        <w:t xml:space="preserve"> in the case of LOS and NLOS, for both channel models A and B, taking into account the SINR and </w:t>
      </w:r>
      <w:r w:rsidR="00336C7B">
        <w:rPr>
          <w:lang w:val="en-GB"/>
        </w:rPr>
        <w:t xml:space="preserve">average </w:t>
      </w:r>
      <w:r w:rsidR="00C45C5D">
        <w:rPr>
          <w:lang w:val="en-GB"/>
        </w:rPr>
        <w:t xml:space="preserve">SE </w:t>
      </w:r>
      <w:r w:rsidR="004075E7">
        <w:rPr>
          <w:lang w:val="en-GB"/>
        </w:rPr>
        <w:t xml:space="preserve">as derived in the previous step </w:t>
      </w:r>
      <w:r w:rsidR="00336C7B">
        <w:rPr>
          <w:lang w:val="en-GB"/>
        </w:rPr>
        <w:t xml:space="preserve">for the LMLC case. </w:t>
      </w:r>
    </w:p>
    <w:p w14:paraId="05805D34" w14:textId="28845827" w:rsidR="000F7983" w:rsidRDefault="000F7983" w:rsidP="009C36A4">
      <w:pPr>
        <w:rPr>
          <w:lang w:val="en-GB"/>
        </w:rPr>
      </w:pPr>
    </w:p>
    <w:p w14:paraId="783695D9" w14:textId="7B72F7BC" w:rsidR="000F7983" w:rsidRPr="00C752C5" w:rsidRDefault="000F7983" w:rsidP="009C36A4">
      <w:pPr>
        <w:rPr>
          <w:i/>
          <w:iCs/>
          <w:color w:val="002060"/>
          <w:lang w:val="en-GB"/>
        </w:rPr>
      </w:pPr>
      <w:r w:rsidRPr="00C752C5">
        <w:rPr>
          <w:i/>
          <w:iCs/>
          <w:color w:val="002060"/>
          <w:lang w:val="en-GB"/>
        </w:rPr>
        <w:t>Reply</w:t>
      </w:r>
      <w:r w:rsidR="005761F0" w:rsidRPr="00C752C5">
        <w:rPr>
          <w:i/>
          <w:iCs/>
          <w:color w:val="002060"/>
          <w:lang w:val="en-GB"/>
        </w:rPr>
        <w:t xml:space="preserve">: We thank CEG for the suggestion. </w:t>
      </w:r>
      <w:r w:rsidR="006147E3" w:rsidRPr="00C752C5">
        <w:rPr>
          <w:i/>
          <w:iCs/>
          <w:color w:val="002060"/>
          <w:lang w:val="en-GB"/>
        </w:rPr>
        <w:t xml:space="preserve"> As mentioned in the above replies,</w:t>
      </w:r>
    </w:p>
    <w:p w14:paraId="0496E46E" w14:textId="0CE60620" w:rsidR="006147E3" w:rsidRPr="00C752C5" w:rsidRDefault="006147E3" w:rsidP="006147E3">
      <w:pPr>
        <w:pStyle w:val="ListParagraph"/>
        <w:numPr>
          <w:ilvl w:val="0"/>
          <w:numId w:val="4"/>
        </w:numPr>
        <w:rPr>
          <w:i/>
          <w:iCs/>
          <w:color w:val="002060"/>
          <w:lang w:val="en-GB"/>
        </w:rPr>
      </w:pPr>
      <w:r w:rsidRPr="00C752C5">
        <w:rPr>
          <w:i/>
          <w:iCs/>
          <w:color w:val="002060"/>
          <w:lang w:val="en-GB"/>
        </w:rPr>
        <w:t>For the system level simulations which report A</w:t>
      </w:r>
      <w:r w:rsidR="005049C0">
        <w:rPr>
          <w:i/>
          <w:iCs/>
          <w:color w:val="002060"/>
          <w:lang w:val="en-GB"/>
        </w:rPr>
        <w:t>verage</w:t>
      </w:r>
      <w:r w:rsidRPr="00C752C5">
        <w:rPr>
          <w:i/>
          <w:iCs/>
          <w:color w:val="002060"/>
          <w:lang w:val="en-GB"/>
        </w:rPr>
        <w:t xml:space="preserve"> SE and 5% </w:t>
      </w:r>
      <w:r w:rsidR="005049C0" w:rsidRPr="00C752C5">
        <w:rPr>
          <w:i/>
          <w:iCs/>
          <w:color w:val="002060"/>
          <w:lang w:val="en-GB"/>
        </w:rPr>
        <w:t>SE, the</w:t>
      </w:r>
      <w:r w:rsidRPr="00C752C5">
        <w:rPr>
          <w:i/>
          <w:iCs/>
          <w:color w:val="002060"/>
          <w:lang w:val="en-GB"/>
        </w:rPr>
        <w:t xml:space="preserve"> exact parameters as provided in M.2412 are used. </w:t>
      </w:r>
    </w:p>
    <w:p w14:paraId="38B8A481" w14:textId="3E0F94C7" w:rsidR="006147E3" w:rsidRPr="00C752C5" w:rsidRDefault="00683AF9" w:rsidP="006147E3">
      <w:pPr>
        <w:pStyle w:val="ListParagraph"/>
        <w:numPr>
          <w:ilvl w:val="0"/>
          <w:numId w:val="4"/>
        </w:numPr>
        <w:rPr>
          <w:i/>
          <w:iCs/>
          <w:color w:val="002060"/>
          <w:lang w:val="en-GB"/>
        </w:rPr>
      </w:pPr>
      <w:r w:rsidRPr="00C752C5">
        <w:rPr>
          <w:i/>
          <w:iCs/>
          <w:color w:val="002060"/>
          <w:lang w:val="en-GB"/>
        </w:rPr>
        <w:t>The 120 km/h was a typographical mistake only in the link-budget sheet and</w:t>
      </w:r>
      <w:r w:rsidR="005B1EBE">
        <w:rPr>
          <w:i/>
          <w:iCs/>
          <w:color w:val="002060"/>
          <w:lang w:val="en-GB"/>
        </w:rPr>
        <w:t xml:space="preserve"> the link budget SNR calculations are appropriate. </w:t>
      </w:r>
      <w:r w:rsidRPr="00C752C5">
        <w:rPr>
          <w:i/>
          <w:iCs/>
          <w:color w:val="002060"/>
          <w:lang w:val="en-GB"/>
        </w:rPr>
        <w:t xml:space="preserve"> </w:t>
      </w:r>
    </w:p>
    <w:p w14:paraId="2D5E8E58" w14:textId="5D8A308F" w:rsidR="00E54BB6" w:rsidRPr="00C752C5" w:rsidRDefault="00E54BB6" w:rsidP="006147E3">
      <w:pPr>
        <w:pStyle w:val="ListParagraph"/>
        <w:numPr>
          <w:ilvl w:val="0"/>
          <w:numId w:val="4"/>
        </w:numPr>
        <w:rPr>
          <w:i/>
          <w:iCs/>
          <w:color w:val="002060"/>
          <w:lang w:val="en-GB"/>
        </w:rPr>
      </w:pPr>
      <w:r w:rsidRPr="00C752C5">
        <w:rPr>
          <w:i/>
          <w:iCs/>
          <w:color w:val="002060"/>
          <w:lang w:val="en-GB"/>
        </w:rPr>
        <w:t>Using the additional 12 dB in the link-budget sheet is correct and</w:t>
      </w:r>
      <w:r w:rsidR="00FF4227">
        <w:rPr>
          <w:i/>
          <w:iCs/>
          <w:color w:val="002060"/>
          <w:lang w:val="en-GB"/>
        </w:rPr>
        <w:t xml:space="preserve"> as per M.2412. </w:t>
      </w:r>
      <w:r w:rsidR="00CC1A4E">
        <w:rPr>
          <w:i/>
          <w:iCs/>
          <w:color w:val="002060"/>
          <w:lang w:val="en-GB"/>
        </w:rPr>
        <w:t>The</w:t>
      </w:r>
      <w:r w:rsidR="00CC1A4E" w:rsidRPr="00C752C5">
        <w:rPr>
          <w:i/>
          <w:iCs/>
          <w:color w:val="002060"/>
          <w:lang w:val="en-GB"/>
        </w:rPr>
        <w:t xml:space="preserve"> justification</w:t>
      </w:r>
      <w:r w:rsidR="00FF4227">
        <w:rPr>
          <w:i/>
          <w:iCs/>
          <w:color w:val="002060"/>
          <w:lang w:val="en-GB"/>
        </w:rPr>
        <w:t xml:space="preserve"> is provided</w:t>
      </w:r>
      <w:r w:rsidRPr="00C752C5">
        <w:rPr>
          <w:i/>
          <w:iCs/>
          <w:color w:val="002060"/>
          <w:lang w:val="en-GB"/>
        </w:rPr>
        <w:t xml:space="preserve"> in the response for question 2. </w:t>
      </w:r>
    </w:p>
    <w:p w14:paraId="11B963AA" w14:textId="2EC9E392" w:rsidR="00C752C5" w:rsidRPr="00A600BD" w:rsidRDefault="00B54045" w:rsidP="00A600BD">
      <w:pPr>
        <w:rPr>
          <w:i/>
          <w:iCs/>
          <w:color w:val="002060"/>
          <w:lang w:val="en-GB"/>
        </w:rPr>
      </w:pPr>
      <w:r w:rsidRPr="005049C0">
        <w:rPr>
          <w:i/>
          <w:iCs/>
          <w:color w:val="002060"/>
          <w:lang w:val="en-GB"/>
        </w:rPr>
        <w:t>Bases on the above observations, the results provided</w:t>
      </w:r>
      <w:r w:rsidR="00FE02C2" w:rsidRPr="005049C0">
        <w:rPr>
          <w:i/>
          <w:iCs/>
          <w:color w:val="002060"/>
          <w:lang w:val="en-GB"/>
        </w:rPr>
        <w:t xml:space="preserve"> by TSDSI</w:t>
      </w:r>
      <w:r w:rsidRPr="005049C0">
        <w:rPr>
          <w:i/>
          <w:iCs/>
          <w:color w:val="002060"/>
          <w:lang w:val="en-GB"/>
        </w:rPr>
        <w:t xml:space="preserve"> </w:t>
      </w:r>
      <w:r w:rsidR="000C0DC2" w:rsidRPr="005049C0">
        <w:rPr>
          <w:i/>
          <w:iCs/>
          <w:color w:val="002060"/>
          <w:lang w:val="en-GB"/>
        </w:rPr>
        <w:t xml:space="preserve">in the self-evaluation are correct. </w:t>
      </w:r>
    </w:p>
    <w:p w14:paraId="3C150D24" w14:textId="2976F902" w:rsidR="00C752C5" w:rsidRDefault="002D365B" w:rsidP="00C752C5">
      <w:pPr>
        <w:pStyle w:val="BodyText"/>
        <w:ind w:left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(Part of the previous question) </w:t>
      </w:r>
      <w:r w:rsidR="00C752C5">
        <w:rPr>
          <w:rFonts w:asciiTheme="minorHAnsi" w:hAnsiTheme="minorHAnsi" w:cstheme="minorHAnsi"/>
          <w:lang w:val="en-US"/>
        </w:rPr>
        <w:t xml:space="preserve">It is unclear how an SINR and the consequent SE, established for an ISD of 1.732 km, can remain unchanged when the ISD is increased to 6 km? Without a substantial increase in UL power, a near six-fold increase in distance with limited power budgets should lead to lower SINRs and therefore lower average SEs. </w:t>
      </w:r>
    </w:p>
    <w:p w14:paraId="3A1B35CA" w14:textId="02F3B01A" w:rsidR="00A414B3" w:rsidRPr="00800DFC" w:rsidRDefault="002D365B" w:rsidP="00C752C5">
      <w:pPr>
        <w:pStyle w:val="BodyText"/>
        <w:ind w:left="0"/>
        <w:rPr>
          <w:rFonts w:asciiTheme="minorHAnsi" w:hAnsiTheme="minorHAnsi" w:cstheme="minorHAnsi"/>
          <w:i/>
          <w:iCs/>
          <w:color w:val="002060"/>
          <w:lang w:val="en-US"/>
        </w:rPr>
      </w:pPr>
      <w:r w:rsidRPr="00800DFC">
        <w:rPr>
          <w:rFonts w:asciiTheme="minorHAnsi" w:hAnsiTheme="minorHAnsi" w:cstheme="minorHAnsi"/>
          <w:i/>
          <w:iCs/>
          <w:color w:val="002060"/>
          <w:lang w:val="en-US"/>
        </w:rPr>
        <w:t>Reply:</w:t>
      </w:r>
      <w:r w:rsidR="00A600BD">
        <w:rPr>
          <w:rFonts w:asciiTheme="minorHAnsi" w:hAnsiTheme="minorHAnsi" w:cstheme="minorHAnsi"/>
          <w:i/>
          <w:iCs/>
          <w:color w:val="002060"/>
          <w:lang w:val="en-US"/>
        </w:rPr>
        <w:t xml:space="preserve"> </w:t>
      </w:r>
      <w:r w:rsidR="00534E11" w:rsidRPr="00800DFC">
        <w:rPr>
          <w:rFonts w:asciiTheme="minorHAnsi" w:hAnsiTheme="minorHAnsi" w:cstheme="minorHAnsi"/>
          <w:i/>
          <w:iCs/>
          <w:color w:val="002060"/>
          <w:lang w:val="en-US"/>
        </w:rPr>
        <w:t xml:space="preserve">As rightly pointed out by CEG, the spectral efficiency indeed decreases as seen by our system level simulation.  Table 1 and Table 2 </w:t>
      </w:r>
      <w:r w:rsidR="00E472C3" w:rsidRPr="00800DFC">
        <w:rPr>
          <w:rFonts w:asciiTheme="minorHAnsi" w:hAnsiTheme="minorHAnsi" w:cstheme="minorHAnsi"/>
          <w:i/>
          <w:iCs/>
          <w:color w:val="002060"/>
          <w:lang w:val="en-US"/>
        </w:rPr>
        <w:t xml:space="preserve">are taken from the self-evaluation result submitted by TSDSI and we clearly see that the achieved Avg SE and 5% SE have decreased for LMLC. </w:t>
      </w:r>
    </w:p>
    <w:p w14:paraId="2283891D" w14:textId="77777777" w:rsidR="00A414B3" w:rsidRPr="00800DFC" w:rsidRDefault="00A414B3" w:rsidP="00C752C5">
      <w:pPr>
        <w:pStyle w:val="BodyText"/>
        <w:ind w:left="0"/>
        <w:rPr>
          <w:rFonts w:asciiTheme="minorHAnsi" w:hAnsiTheme="minorHAnsi" w:cstheme="minorHAnsi"/>
          <w:i/>
          <w:iCs/>
          <w:color w:val="002060"/>
          <w:lang w:val="en-US"/>
        </w:rPr>
      </w:pPr>
    </w:p>
    <w:p w14:paraId="441AFE35" w14:textId="21CE261C" w:rsidR="00925B42" w:rsidRPr="00800DFC" w:rsidRDefault="00925B42" w:rsidP="00925B42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i/>
          <w:iCs/>
          <w:color w:val="002060"/>
        </w:rPr>
      </w:pPr>
      <w:r w:rsidRPr="00800DFC">
        <w:rPr>
          <w:b/>
          <w:i/>
          <w:iCs/>
          <w:color w:val="002060"/>
        </w:rPr>
        <w:t xml:space="preserve">Table </w:t>
      </w:r>
      <w:r w:rsidR="00534E11" w:rsidRPr="00800DFC">
        <w:rPr>
          <w:b/>
          <w:i/>
          <w:iCs/>
          <w:color w:val="002060"/>
        </w:rPr>
        <w:t>1</w:t>
      </w:r>
      <w:r w:rsidRPr="00800DFC">
        <w:rPr>
          <w:b/>
          <w:i/>
          <w:iCs/>
          <w:color w:val="002060"/>
        </w:rPr>
        <w:t>: Average and 5th-percentile spectral efficiency for TDD configuration for the Rural-</w:t>
      </w:r>
      <w:proofErr w:type="spellStart"/>
      <w:r w:rsidRPr="00800DFC">
        <w:rPr>
          <w:b/>
          <w:i/>
          <w:iCs/>
          <w:color w:val="002060"/>
        </w:rPr>
        <w:t>eMBB</w:t>
      </w:r>
      <w:proofErr w:type="spellEnd"/>
      <w:r w:rsidRPr="00800DFC">
        <w:rPr>
          <w:b/>
          <w:i/>
          <w:iCs/>
          <w:color w:val="002060"/>
        </w:rPr>
        <w:t xml:space="preserve"> test environment, Configuration A (700 MHz)</w:t>
      </w:r>
      <w:r w:rsidR="00A414B3" w:rsidRPr="00800DFC">
        <w:rPr>
          <w:b/>
          <w:i/>
          <w:iCs/>
          <w:color w:val="002060"/>
        </w:rPr>
        <w:t xml:space="preserve"> (1.732 km ISD)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9"/>
        <w:gridCol w:w="1985"/>
        <w:gridCol w:w="2354"/>
        <w:gridCol w:w="2352"/>
      </w:tblGrid>
      <w:tr w:rsidR="00800DFC" w:rsidRPr="00800DFC" w14:paraId="1998F413" w14:textId="77777777" w:rsidTr="00F21E0B">
        <w:tc>
          <w:tcPr>
            <w:tcW w:w="2319" w:type="dxa"/>
          </w:tcPr>
          <w:p w14:paraId="5A970F12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</w:p>
        </w:tc>
        <w:tc>
          <w:tcPr>
            <w:tcW w:w="1985" w:type="dxa"/>
          </w:tcPr>
          <w:p w14:paraId="7029FAE1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</w:p>
        </w:tc>
        <w:tc>
          <w:tcPr>
            <w:tcW w:w="2354" w:type="dxa"/>
          </w:tcPr>
          <w:p w14:paraId="158A85AC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 xml:space="preserve">ITU Requirement </w:t>
            </w:r>
          </w:p>
        </w:tc>
        <w:tc>
          <w:tcPr>
            <w:tcW w:w="2352" w:type="dxa"/>
          </w:tcPr>
          <w:p w14:paraId="7E36DBBE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 xml:space="preserve">  Achieved </w:t>
            </w:r>
          </w:p>
        </w:tc>
      </w:tr>
      <w:tr w:rsidR="00800DFC" w:rsidRPr="00800DFC" w14:paraId="5A430AC9" w14:textId="77777777" w:rsidTr="00F21E0B">
        <w:trPr>
          <w:trHeight w:val="100"/>
        </w:trPr>
        <w:tc>
          <w:tcPr>
            <w:tcW w:w="2319" w:type="dxa"/>
            <w:vMerge w:val="restart"/>
          </w:tcPr>
          <w:p w14:paraId="0B9AB18E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lastRenderedPageBreak/>
              <w:t>Uplink</w:t>
            </w:r>
          </w:p>
        </w:tc>
        <w:tc>
          <w:tcPr>
            <w:tcW w:w="1985" w:type="dxa"/>
          </w:tcPr>
          <w:p w14:paraId="489A44B1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Average [bit/s/Hz/</w:t>
            </w:r>
            <w:proofErr w:type="spellStart"/>
            <w:r w:rsidRPr="00800DFC">
              <w:rPr>
                <w:i/>
                <w:iCs/>
                <w:color w:val="002060"/>
              </w:rPr>
              <w:t>TRxP</w:t>
            </w:r>
            <w:proofErr w:type="spellEnd"/>
            <w:r w:rsidRPr="00800DFC">
              <w:rPr>
                <w:i/>
                <w:iCs/>
                <w:color w:val="002060"/>
              </w:rPr>
              <w:t>]</w:t>
            </w:r>
          </w:p>
        </w:tc>
        <w:tc>
          <w:tcPr>
            <w:tcW w:w="2354" w:type="dxa"/>
          </w:tcPr>
          <w:p w14:paraId="614A054D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1.6</w:t>
            </w:r>
          </w:p>
        </w:tc>
        <w:tc>
          <w:tcPr>
            <w:tcW w:w="2352" w:type="dxa"/>
          </w:tcPr>
          <w:p w14:paraId="6FBA545B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4.62</w:t>
            </w:r>
          </w:p>
        </w:tc>
      </w:tr>
      <w:tr w:rsidR="00800DFC" w:rsidRPr="00800DFC" w14:paraId="7FBC08F3" w14:textId="77777777" w:rsidTr="00F21E0B">
        <w:trPr>
          <w:trHeight w:val="100"/>
        </w:trPr>
        <w:tc>
          <w:tcPr>
            <w:tcW w:w="2319" w:type="dxa"/>
            <w:vMerge/>
          </w:tcPr>
          <w:p w14:paraId="5901B83B" w14:textId="77777777" w:rsidR="00925B42" w:rsidRPr="00800DFC" w:rsidRDefault="00925B42" w:rsidP="00F21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002060"/>
              </w:rPr>
            </w:pPr>
          </w:p>
        </w:tc>
        <w:tc>
          <w:tcPr>
            <w:tcW w:w="1985" w:type="dxa"/>
          </w:tcPr>
          <w:p w14:paraId="320588E6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5</w:t>
            </w:r>
            <w:r w:rsidRPr="00800DFC">
              <w:rPr>
                <w:i/>
                <w:iCs/>
                <w:color w:val="002060"/>
                <w:vertAlign w:val="superscript"/>
              </w:rPr>
              <w:t>th</w:t>
            </w:r>
            <w:r w:rsidRPr="00800DFC">
              <w:rPr>
                <w:i/>
                <w:iCs/>
                <w:color w:val="002060"/>
              </w:rPr>
              <w:t>-tile [bit/s/Hz]</w:t>
            </w:r>
          </w:p>
        </w:tc>
        <w:tc>
          <w:tcPr>
            <w:tcW w:w="2354" w:type="dxa"/>
          </w:tcPr>
          <w:p w14:paraId="1961B4C0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0.045</w:t>
            </w:r>
          </w:p>
        </w:tc>
        <w:tc>
          <w:tcPr>
            <w:tcW w:w="2352" w:type="dxa"/>
          </w:tcPr>
          <w:p w14:paraId="545FF161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0.1</w:t>
            </w:r>
          </w:p>
        </w:tc>
      </w:tr>
    </w:tbl>
    <w:p w14:paraId="3C1A905F" w14:textId="622159E9" w:rsidR="00925B42" w:rsidRPr="00800DFC" w:rsidRDefault="00925B42" w:rsidP="00925B42">
      <w:pPr>
        <w:rPr>
          <w:i/>
          <w:iCs/>
          <w:color w:val="002060"/>
        </w:rPr>
      </w:pPr>
    </w:p>
    <w:p w14:paraId="348331D6" w14:textId="77777777" w:rsidR="00925B42" w:rsidRPr="00800DFC" w:rsidRDefault="00925B42" w:rsidP="00925B42">
      <w:pPr>
        <w:rPr>
          <w:i/>
          <w:iCs/>
          <w:color w:val="002060"/>
        </w:rPr>
      </w:pPr>
    </w:p>
    <w:p w14:paraId="02C105D5" w14:textId="130A4466" w:rsidR="00925B42" w:rsidRPr="00800DFC" w:rsidRDefault="00925B42" w:rsidP="00925B42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i/>
          <w:iCs/>
          <w:color w:val="002060"/>
        </w:rPr>
      </w:pPr>
      <w:r w:rsidRPr="00800DFC">
        <w:rPr>
          <w:b/>
          <w:i/>
          <w:iCs/>
          <w:color w:val="002060"/>
        </w:rPr>
        <w:t xml:space="preserve">Table </w:t>
      </w:r>
      <w:proofErr w:type="gramStart"/>
      <w:r w:rsidR="00534E11" w:rsidRPr="00800DFC">
        <w:rPr>
          <w:b/>
          <w:i/>
          <w:iCs/>
          <w:color w:val="002060"/>
        </w:rPr>
        <w:t>2</w:t>
      </w:r>
      <w:r w:rsidRPr="00800DFC">
        <w:rPr>
          <w:b/>
          <w:i/>
          <w:iCs/>
          <w:color w:val="002060"/>
        </w:rPr>
        <w:t xml:space="preserve"> </w:t>
      </w:r>
      <w:r w:rsidR="00E472C3" w:rsidRPr="00800DFC">
        <w:rPr>
          <w:b/>
          <w:i/>
          <w:iCs/>
          <w:color w:val="002060"/>
        </w:rPr>
        <w:t>:</w:t>
      </w:r>
      <w:proofErr w:type="gramEnd"/>
      <w:r w:rsidR="00800DFC">
        <w:rPr>
          <w:b/>
          <w:i/>
          <w:iCs/>
          <w:color w:val="002060"/>
        </w:rPr>
        <w:t xml:space="preserve"> </w:t>
      </w:r>
      <w:r w:rsidRPr="00800DFC">
        <w:rPr>
          <w:b/>
          <w:i/>
          <w:iCs/>
          <w:color w:val="002060"/>
        </w:rPr>
        <w:t>Average and 5th-percentile spectral efficiency for TDD configuration for the Rural-</w:t>
      </w:r>
      <w:proofErr w:type="spellStart"/>
      <w:r w:rsidRPr="00800DFC">
        <w:rPr>
          <w:b/>
          <w:i/>
          <w:iCs/>
          <w:color w:val="002060"/>
        </w:rPr>
        <w:t>eMBB</w:t>
      </w:r>
      <w:proofErr w:type="spellEnd"/>
      <w:r w:rsidRPr="00800DFC">
        <w:rPr>
          <w:b/>
          <w:i/>
          <w:iCs/>
          <w:color w:val="002060"/>
        </w:rPr>
        <w:t xml:space="preserve"> test environment, LMLC Configuration</w:t>
      </w:r>
      <w:r w:rsidR="00A414B3" w:rsidRPr="00800DFC">
        <w:rPr>
          <w:b/>
          <w:i/>
          <w:iCs/>
          <w:color w:val="002060"/>
        </w:rPr>
        <w:t xml:space="preserve"> (6km ISD)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9"/>
        <w:gridCol w:w="1985"/>
        <w:gridCol w:w="2354"/>
        <w:gridCol w:w="2352"/>
      </w:tblGrid>
      <w:tr w:rsidR="00800DFC" w:rsidRPr="00800DFC" w14:paraId="021C5438" w14:textId="77777777" w:rsidTr="00F21E0B">
        <w:tc>
          <w:tcPr>
            <w:tcW w:w="2319" w:type="dxa"/>
          </w:tcPr>
          <w:p w14:paraId="42097B65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</w:p>
        </w:tc>
        <w:tc>
          <w:tcPr>
            <w:tcW w:w="1985" w:type="dxa"/>
          </w:tcPr>
          <w:p w14:paraId="00CFA252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</w:p>
        </w:tc>
        <w:tc>
          <w:tcPr>
            <w:tcW w:w="2354" w:type="dxa"/>
          </w:tcPr>
          <w:p w14:paraId="3892D8FD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 xml:space="preserve">ITU Requirement </w:t>
            </w:r>
          </w:p>
        </w:tc>
        <w:tc>
          <w:tcPr>
            <w:tcW w:w="2352" w:type="dxa"/>
          </w:tcPr>
          <w:p w14:paraId="749B3A66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 xml:space="preserve">  Achieved </w:t>
            </w:r>
          </w:p>
        </w:tc>
      </w:tr>
      <w:tr w:rsidR="00800DFC" w:rsidRPr="00800DFC" w14:paraId="37A89A62" w14:textId="77777777" w:rsidTr="00F21E0B">
        <w:trPr>
          <w:trHeight w:val="100"/>
        </w:trPr>
        <w:tc>
          <w:tcPr>
            <w:tcW w:w="2319" w:type="dxa"/>
            <w:vMerge w:val="restart"/>
          </w:tcPr>
          <w:p w14:paraId="2E61FB6A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Uplink</w:t>
            </w:r>
          </w:p>
        </w:tc>
        <w:tc>
          <w:tcPr>
            <w:tcW w:w="1985" w:type="dxa"/>
          </w:tcPr>
          <w:p w14:paraId="7FF6D311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Average [bit/s/Hz/</w:t>
            </w:r>
            <w:proofErr w:type="spellStart"/>
            <w:r w:rsidRPr="00800DFC">
              <w:rPr>
                <w:i/>
                <w:iCs/>
                <w:color w:val="002060"/>
              </w:rPr>
              <w:t>TRxP</w:t>
            </w:r>
            <w:proofErr w:type="spellEnd"/>
            <w:r w:rsidRPr="00800DFC">
              <w:rPr>
                <w:i/>
                <w:iCs/>
                <w:color w:val="002060"/>
              </w:rPr>
              <w:t>]</w:t>
            </w:r>
          </w:p>
        </w:tc>
        <w:tc>
          <w:tcPr>
            <w:tcW w:w="2354" w:type="dxa"/>
          </w:tcPr>
          <w:p w14:paraId="3B0C30E8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1.6</w:t>
            </w:r>
          </w:p>
        </w:tc>
        <w:tc>
          <w:tcPr>
            <w:tcW w:w="2352" w:type="dxa"/>
          </w:tcPr>
          <w:p w14:paraId="5DBD0654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2.75</w:t>
            </w:r>
          </w:p>
        </w:tc>
      </w:tr>
      <w:tr w:rsidR="00800DFC" w:rsidRPr="00800DFC" w14:paraId="786F8935" w14:textId="77777777" w:rsidTr="00F21E0B">
        <w:trPr>
          <w:trHeight w:val="100"/>
        </w:trPr>
        <w:tc>
          <w:tcPr>
            <w:tcW w:w="2319" w:type="dxa"/>
            <w:vMerge/>
          </w:tcPr>
          <w:p w14:paraId="5A378195" w14:textId="77777777" w:rsidR="00925B42" w:rsidRPr="00800DFC" w:rsidRDefault="00925B42" w:rsidP="00F21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002060"/>
                <w:highlight w:val="red"/>
              </w:rPr>
            </w:pPr>
          </w:p>
        </w:tc>
        <w:tc>
          <w:tcPr>
            <w:tcW w:w="1985" w:type="dxa"/>
          </w:tcPr>
          <w:p w14:paraId="1E73251F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5</w:t>
            </w:r>
            <w:r w:rsidRPr="00800DFC">
              <w:rPr>
                <w:i/>
                <w:iCs/>
                <w:color w:val="002060"/>
                <w:vertAlign w:val="superscript"/>
              </w:rPr>
              <w:t>th</w:t>
            </w:r>
            <w:r w:rsidRPr="00800DFC">
              <w:rPr>
                <w:i/>
                <w:iCs/>
                <w:color w:val="002060"/>
              </w:rPr>
              <w:t>-tile [bit/s/Hz]</w:t>
            </w:r>
          </w:p>
        </w:tc>
        <w:tc>
          <w:tcPr>
            <w:tcW w:w="2354" w:type="dxa"/>
          </w:tcPr>
          <w:p w14:paraId="4263D0A2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0.045</w:t>
            </w:r>
          </w:p>
        </w:tc>
        <w:tc>
          <w:tcPr>
            <w:tcW w:w="2352" w:type="dxa"/>
          </w:tcPr>
          <w:p w14:paraId="0A479D70" w14:textId="77777777" w:rsidR="00925B42" w:rsidRPr="00800DFC" w:rsidRDefault="00925B42" w:rsidP="00F21E0B">
            <w:pPr>
              <w:rPr>
                <w:i/>
                <w:iCs/>
                <w:color w:val="002060"/>
              </w:rPr>
            </w:pPr>
            <w:r w:rsidRPr="00800DFC">
              <w:rPr>
                <w:i/>
                <w:iCs/>
                <w:color w:val="002060"/>
              </w:rPr>
              <w:t>0.05</w:t>
            </w:r>
          </w:p>
        </w:tc>
      </w:tr>
    </w:tbl>
    <w:p w14:paraId="69EFA6F2" w14:textId="77777777" w:rsidR="00925B42" w:rsidRPr="00800DFC" w:rsidRDefault="00925B42" w:rsidP="00925B42">
      <w:pPr>
        <w:rPr>
          <w:i/>
          <w:iCs/>
          <w:color w:val="002060"/>
        </w:rPr>
      </w:pPr>
    </w:p>
    <w:p w14:paraId="6BDBE2BD" w14:textId="6D9658DB" w:rsidR="009C36A4" w:rsidRPr="00800DFC" w:rsidRDefault="009C36A4" w:rsidP="009C36A4">
      <w:pPr>
        <w:tabs>
          <w:tab w:val="left" w:pos="1440"/>
        </w:tabs>
        <w:rPr>
          <w:i/>
          <w:iCs/>
          <w:color w:val="002060"/>
          <w:lang w:val="en-GB"/>
        </w:rPr>
      </w:pPr>
    </w:p>
    <w:p w14:paraId="3BDBAE7D" w14:textId="6A0D15CD" w:rsidR="009C36A4" w:rsidRPr="00800DFC" w:rsidRDefault="00E472C3" w:rsidP="009C36A4">
      <w:pPr>
        <w:tabs>
          <w:tab w:val="left" w:pos="1440"/>
        </w:tabs>
        <w:rPr>
          <w:i/>
          <w:iCs/>
          <w:color w:val="002060"/>
          <w:lang w:val="en-GB"/>
        </w:rPr>
      </w:pPr>
      <w:r w:rsidRPr="00800DFC">
        <w:rPr>
          <w:i/>
          <w:iCs/>
          <w:color w:val="002060"/>
          <w:lang w:val="en-GB"/>
        </w:rPr>
        <w:t xml:space="preserve">In the link-budget template, </w:t>
      </w:r>
      <w:r w:rsidR="00C93BD4" w:rsidRPr="00800DFC">
        <w:rPr>
          <w:i/>
          <w:iCs/>
          <w:color w:val="002060"/>
          <w:lang w:val="en-GB"/>
        </w:rPr>
        <w:t xml:space="preserve">the SE entirely depends on the BW allocated to a user. We choose the required data-rate and the BW, which in turn effects the noise spectral density. Based on the path loss, the noise would in </w:t>
      </w:r>
      <w:r w:rsidR="002445B6" w:rsidRPr="00800DFC">
        <w:rPr>
          <w:i/>
          <w:iCs/>
          <w:color w:val="002060"/>
          <w:lang w:val="en-GB"/>
        </w:rPr>
        <w:t xml:space="preserve">turn </w:t>
      </w:r>
      <w:r w:rsidR="00800DFC" w:rsidRPr="00800DFC">
        <w:rPr>
          <w:i/>
          <w:iCs/>
          <w:color w:val="002060"/>
          <w:lang w:val="en-GB"/>
        </w:rPr>
        <w:t>influence the</w:t>
      </w:r>
      <w:r w:rsidR="00C93BD4" w:rsidRPr="00800DFC">
        <w:rPr>
          <w:i/>
          <w:iCs/>
          <w:color w:val="002060"/>
          <w:lang w:val="en-GB"/>
        </w:rPr>
        <w:t xml:space="preserve"> range that can be obtained </w:t>
      </w:r>
      <w:r w:rsidR="002671C6" w:rsidRPr="00800DFC">
        <w:rPr>
          <w:i/>
          <w:iCs/>
          <w:color w:val="002060"/>
          <w:lang w:val="en-GB"/>
        </w:rPr>
        <w:t>by</w:t>
      </w:r>
      <w:r w:rsidR="00C93BD4" w:rsidRPr="00800DFC">
        <w:rPr>
          <w:i/>
          <w:iCs/>
          <w:color w:val="002060"/>
          <w:lang w:val="en-GB"/>
        </w:rPr>
        <w:t xml:space="preserve"> the UE. </w:t>
      </w:r>
    </w:p>
    <w:sectPr w:rsidR="009C36A4" w:rsidRPr="00800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B7023D42"/>
    <w:lvl w:ilvl="0">
      <w:start w:val="1"/>
      <w:numFmt w:val="decimal"/>
      <w:pStyle w:val="Heading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1" w15:restartNumberingAfterBreak="0">
    <w:nsid w:val="2BC56877"/>
    <w:multiLevelType w:val="hybridMultilevel"/>
    <w:tmpl w:val="EB9C7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B08D1"/>
    <w:multiLevelType w:val="hybridMultilevel"/>
    <w:tmpl w:val="B7409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45AA7"/>
    <w:multiLevelType w:val="hybridMultilevel"/>
    <w:tmpl w:val="133A0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82"/>
    <w:rsid w:val="0006570F"/>
    <w:rsid w:val="00067BF3"/>
    <w:rsid w:val="000C0DC2"/>
    <w:rsid w:val="000E6A2B"/>
    <w:rsid w:val="000E7D82"/>
    <w:rsid w:val="000F7983"/>
    <w:rsid w:val="001A1F98"/>
    <w:rsid w:val="001A647B"/>
    <w:rsid w:val="001E1DD2"/>
    <w:rsid w:val="00202934"/>
    <w:rsid w:val="00205936"/>
    <w:rsid w:val="0023729C"/>
    <w:rsid w:val="002445B6"/>
    <w:rsid w:val="002671C6"/>
    <w:rsid w:val="00285CBD"/>
    <w:rsid w:val="002A6864"/>
    <w:rsid w:val="002B2E11"/>
    <w:rsid w:val="002B77E0"/>
    <w:rsid w:val="002D365B"/>
    <w:rsid w:val="002E19F1"/>
    <w:rsid w:val="003008C6"/>
    <w:rsid w:val="00332C51"/>
    <w:rsid w:val="00336C7B"/>
    <w:rsid w:val="0036795D"/>
    <w:rsid w:val="00372130"/>
    <w:rsid w:val="00382FE1"/>
    <w:rsid w:val="0039565D"/>
    <w:rsid w:val="003A59F0"/>
    <w:rsid w:val="004075E7"/>
    <w:rsid w:val="00450DEA"/>
    <w:rsid w:val="00497A2F"/>
    <w:rsid w:val="004E21E4"/>
    <w:rsid w:val="004E6971"/>
    <w:rsid w:val="004F265B"/>
    <w:rsid w:val="005049C0"/>
    <w:rsid w:val="00521243"/>
    <w:rsid w:val="00525F0D"/>
    <w:rsid w:val="00534E11"/>
    <w:rsid w:val="005352A0"/>
    <w:rsid w:val="00554389"/>
    <w:rsid w:val="00557E22"/>
    <w:rsid w:val="0057096C"/>
    <w:rsid w:val="005761F0"/>
    <w:rsid w:val="00586947"/>
    <w:rsid w:val="005B1EBE"/>
    <w:rsid w:val="00601EF4"/>
    <w:rsid w:val="006147E3"/>
    <w:rsid w:val="006823B2"/>
    <w:rsid w:val="00683AF9"/>
    <w:rsid w:val="00684362"/>
    <w:rsid w:val="006A5ABF"/>
    <w:rsid w:val="006B1049"/>
    <w:rsid w:val="006C2BA2"/>
    <w:rsid w:val="006D7198"/>
    <w:rsid w:val="006E2C57"/>
    <w:rsid w:val="006E6701"/>
    <w:rsid w:val="00791F90"/>
    <w:rsid w:val="007F6552"/>
    <w:rsid w:val="00800DFC"/>
    <w:rsid w:val="00820363"/>
    <w:rsid w:val="00833A70"/>
    <w:rsid w:val="008342EA"/>
    <w:rsid w:val="008A79DA"/>
    <w:rsid w:val="008B1704"/>
    <w:rsid w:val="008C63E7"/>
    <w:rsid w:val="008F0703"/>
    <w:rsid w:val="00925B42"/>
    <w:rsid w:val="00955509"/>
    <w:rsid w:val="009B1D6D"/>
    <w:rsid w:val="009C36A4"/>
    <w:rsid w:val="00A06BFE"/>
    <w:rsid w:val="00A332DC"/>
    <w:rsid w:val="00A414B3"/>
    <w:rsid w:val="00A600BD"/>
    <w:rsid w:val="00A60BB7"/>
    <w:rsid w:val="00A64B34"/>
    <w:rsid w:val="00A64FF4"/>
    <w:rsid w:val="00A83357"/>
    <w:rsid w:val="00AA76AA"/>
    <w:rsid w:val="00AF2736"/>
    <w:rsid w:val="00B06BED"/>
    <w:rsid w:val="00B32328"/>
    <w:rsid w:val="00B54045"/>
    <w:rsid w:val="00B57C98"/>
    <w:rsid w:val="00BE01FD"/>
    <w:rsid w:val="00C20646"/>
    <w:rsid w:val="00C32407"/>
    <w:rsid w:val="00C45C5D"/>
    <w:rsid w:val="00C52F54"/>
    <w:rsid w:val="00C54CCC"/>
    <w:rsid w:val="00C752C5"/>
    <w:rsid w:val="00C93BD4"/>
    <w:rsid w:val="00CA054C"/>
    <w:rsid w:val="00CA7714"/>
    <w:rsid w:val="00CC1A4E"/>
    <w:rsid w:val="00CE2D51"/>
    <w:rsid w:val="00D40DFE"/>
    <w:rsid w:val="00DE1FA9"/>
    <w:rsid w:val="00E04CCE"/>
    <w:rsid w:val="00E23DF6"/>
    <w:rsid w:val="00E472C3"/>
    <w:rsid w:val="00E54BB6"/>
    <w:rsid w:val="00EB4F98"/>
    <w:rsid w:val="00F2047D"/>
    <w:rsid w:val="00F31DAA"/>
    <w:rsid w:val="00F37129"/>
    <w:rsid w:val="00F47304"/>
    <w:rsid w:val="00F5373D"/>
    <w:rsid w:val="00F57C4B"/>
    <w:rsid w:val="00F73908"/>
    <w:rsid w:val="00F84BCE"/>
    <w:rsid w:val="00F927F3"/>
    <w:rsid w:val="00FE02C2"/>
    <w:rsid w:val="00FF0697"/>
    <w:rsid w:val="00FF4227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E8C2"/>
  <w15:chartTrackingRefBased/>
  <w15:docId w15:val="{B72A697C-A253-42E2-918D-23C4F902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qFormat/>
    <w:rsid w:val="009C36A4"/>
    <w:pPr>
      <w:keepNext/>
      <w:keepLines/>
      <w:numPr>
        <w:numId w:val="1"/>
      </w:numPr>
      <w:spacing w:before="480" w:after="0" w:line="240" w:lineRule="auto"/>
      <w:outlineLvl w:val="0"/>
    </w:pPr>
    <w:rPr>
      <w:rFonts w:ascii="Arial" w:eastAsia="Times New Roman" w:hAnsi="Arial" w:cs="Times New Roman"/>
      <w:kern w:val="28"/>
      <w:sz w:val="40"/>
      <w:szCs w:val="20"/>
      <w:lang w:val="en-GB"/>
    </w:rPr>
  </w:style>
  <w:style w:type="paragraph" w:styleId="Heading2">
    <w:name w:val="heading 2"/>
    <w:basedOn w:val="Heading1"/>
    <w:next w:val="BodyText"/>
    <w:link w:val="Heading2Char"/>
    <w:qFormat/>
    <w:rsid w:val="009C36A4"/>
    <w:pPr>
      <w:numPr>
        <w:ilvl w:val="1"/>
      </w:numPr>
      <w:spacing w:before="120"/>
      <w:ind w:left="1699" w:hanging="1699"/>
      <w:outlineLvl w:val="1"/>
    </w:pPr>
    <w:rPr>
      <w:sz w:val="32"/>
    </w:rPr>
  </w:style>
  <w:style w:type="paragraph" w:styleId="Heading3">
    <w:name w:val="heading 3"/>
    <w:basedOn w:val="Heading2"/>
    <w:next w:val="BodyText"/>
    <w:link w:val="Heading3Char"/>
    <w:qFormat/>
    <w:rsid w:val="009C36A4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link w:val="Heading4Char"/>
    <w:qFormat/>
    <w:rsid w:val="009C36A4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Heading4"/>
    <w:next w:val="BodyText"/>
    <w:link w:val="Heading5Char"/>
    <w:qFormat/>
    <w:rsid w:val="009C36A4"/>
    <w:pPr>
      <w:numPr>
        <w:ilvl w:val="4"/>
      </w:numPr>
      <w:outlineLvl w:val="4"/>
    </w:pPr>
    <w:rPr>
      <w:bCs/>
    </w:rPr>
  </w:style>
  <w:style w:type="paragraph" w:styleId="Heading6">
    <w:name w:val="heading 6"/>
    <w:basedOn w:val="Heading5"/>
    <w:next w:val="BodyText"/>
    <w:link w:val="Heading6Char"/>
    <w:qFormat/>
    <w:rsid w:val="009C36A4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link w:val="Heading7Char"/>
    <w:qFormat/>
    <w:rsid w:val="009C36A4"/>
    <w:pPr>
      <w:numPr>
        <w:ilvl w:val="6"/>
      </w:numPr>
      <w:spacing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0E7D82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0" w:line="240" w:lineRule="auto"/>
      <w:ind w:left="1701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E7D82"/>
    <w:rPr>
      <w:rFonts w:ascii="Arial" w:eastAsia="Times New Roman" w:hAnsi="Arial" w:cs="Times New Roman"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332C5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ablehead">
    <w:name w:val="Table_head"/>
    <w:basedOn w:val="Normal"/>
    <w:link w:val="TableheadChar"/>
    <w:qFormat/>
    <w:rsid w:val="00332C51"/>
    <w:pPr>
      <w:keepNext/>
      <w:tabs>
        <w:tab w:val="left" w:pos="1134"/>
        <w:tab w:val="left" w:pos="1871"/>
        <w:tab w:val="left" w:pos="2268"/>
      </w:tabs>
      <w:spacing w:before="80" w:after="80" w:line="240" w:lineRule="auto"/>
      <w:jc w:val="center"/>
    </w:pPr>
    <w:rPr>
      <w:rFonts w:ascii="Times New Roman Bold" w:hAnsi="Times New Roman Bold" w:cs="Times New Roman Bold"/>
      <w:b/>
      <w:sz w:val="20"/>
      <w:szCs w:val="20"/>
    </w:rPr>
  </w:style>
  <w:style w:type="character" w:customStyle="1" w:styleId="TableheadChar">
    <w:name w:val="Table_head Char"/>
    <w:basedOn w:val="DefaultParagraphFont"/>
    <w:link w:val="Tablehead"/>
    <w:locked/>
    <w:rsid w:val="00332C51"/>
    <w:rPr>
      <w:rFonts w:ascii="Times New Roman Bold" w:hAnsi="Times New Roman Bold" w:cs="Times New Roman Bold"/>
      <w:b/>
      <w:sz w:val="20"/>
      <w:szCs w:val="20"/>
    </w:rPr>
  </w:style>
  <w:style w:type="character" w:customStyle="1" w:styleId="TabletextChar">
    <w:name w:val="Table_text Char"/>
    <w:basedOn w:val="DefaultParagraphFont"/>
    <w:link w:val="Tabletext"/>
    <w:locked/>
    <w:rsid w:val="00332C51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C36A4"/>
    <w:rPr>
      <w:rFonts w:ascii="Arial" w:eastAsia="Times New Roman" w:hAnsi="Arial" w:cs="Times New Roman"/>
      <w:kern w:val="28"/>
      <w:sz w:val="4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C36A4"/>
    <w:rPr>
      <w:rFonts w:ascii="Arial" w:eastAsia="Times New Roman" w:hAnsi="Arial" w:cs="Times New Roman"/>
      <w:kern w:val="28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C36A4"/>
    <w:rPr>
      <w:rFonts w:ascii="Arial" w:eastAsia="Times New Roman" w:hAnsi="Arial" w:cs="Times New Roman"/>
      <w:b/>
      <w:kern w:val="28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C36A4"/>
    <w:rPr>
      <w:rFonts w:ascii="Arial" w:eastAsia="Times New Roman" w:hAnsi="Arial" w:cs="Times New Roman"/>
      <w:b/>
      <w:kern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C36A4"/>
    <w:rPr>
      <w:rFonts w:ascii="Arial" w:eastAsia="Times New Roman" w:hAnsi="Arial" w:cs="Times New Roman"/>
      <w:b/>
      <w:bCs/>
      <w:kern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C36A4"/>
    <w:rPr>
      <w:rFonts w:ascii="Arial" w:eastAsia="Times New Roman" w:hAnsi="Arial" w:cs="Times New Roman"/>
      <w:b/>
      <w:kern w:val="28"/>
      <w:lang w:val="en-GB"/>
    </w:rPr>
  </w:style>
  <w:style w:type="character" w:customStyle="1" w:styleId="Heading7Char">
    <w:name w:val="Heading 7 Char"/>
    <w:basedOn w:val="DefaultParagraphFont"/>
    <w:link w:val="Heading7"/>
    <w:rsid w:val="009C36A4"/>
    <w:rPr>
      <w:rFonts w:ascii="Arial" w:eastAsia="Times New Roman" w:hAnsi="Arial" w:cs="Times New Roman"/>
      <w:b/>
      <w:kern w:val="28"/>
      <w:lang w:val="en-GB"/>
    </w:rPr>
  </w:style>
  <w:style w:type="table" w:styleId="TableGrid">
    <w:name w:val="Table Grid"/>
    <w:basedOn w:val="TableNormal"/>
    <w:qFormat/>
    <w:rsid w:val="009C3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semiHidden/>
    <w:unhideWhenUsed/>
    <w:rsid w:val="009C36A4"/>
    <w:pPr>
      <w:widowControl w:val="0"/>
      <w:spacing w:after="0" w:line="240" w:lineRule="auto"/>
      <w:jc w:val="both"/>
    </w:pPr>
    <w:rPr>
      <w:rFonts w:ascii="Times" w:eastAsia="SimSun" w:hAnsi="Times" w:cs="Times New Roman"/>
      <w:sz w:val="18"/>
      <w:szCs w:val="20"/>
      <w:lang w:eastAsia="ja-JP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ascii="Wingdings 3" w:eastAsia="SimSun" w:hAnsi="Wingdings 3" w:hint="default"/>
        <w:b/>
        <w:i w:val="0"/>
        <w:iCs/>
        <w:sz w:val="18"/>
        <w:szCs w:val="18"/>
      </w:rPr>
      <w:tblPr/>
      <w:tcPr>
        <w:tcBorders>
          <w:top w:val="single" w:sz="12" w:space="0" w:color="000000"/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Wingdings 3" w:eastAsia="SimSun" w:hAnsi="Wingdings 3" w:hint="default"/>
        <w:sz w:val="18"/>
        <w:szCs w:val="18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F0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7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7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07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C5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E21E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9.bin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image" Target="media/image5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5" Type="http://schemas.openxmlformats.org/officeDocument/2006/relationships/styles" Target="styl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6.wmf"/><Relationship Id="rId27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10" ma:contentTypeDescription="Create a new document." ma:contentTypeScope="" ma:versionID="238c51782b2c6677945512947476d207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a2390769c3d609e4869f67335244dcf9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6275BA-92E6-4F55-83F3-1F707B955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B6067-4A6A-4C3A-96BD-F1F3826A2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8B0AC-2731-40D1-B515-9E50594809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 Comsa</dc:creator>
  <cp:keywords/>
  <dc:description/>
  <cp:lastModifiedBy>Radha Krishna Ganti</cp:lastModifiedBy>
  <cp:revision>2</cp:revision>
  <dcterms:created xsi:type="dcterms:W3CDTF">2019-10-19T04:39:00Z</dcterms:created>
  <dcterms:modified xsi:type="dcterms:W3CDTF">2019-10-19T04:39:00Z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0x01010038CFD7BCCB11654597752DB982821F90</vt:lpwstr>
  </property>
</Properties>
</file>